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68580</wp:posOffset>
            </wp:positionV>
            <wp:extent cx="9601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The St. Joe Company</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6"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2380" w:type="dxa"/>
            <w:vAlign w:val="bottom"/>
          </w:tcPr>
          <w:p>
            <w:pPr>
              <w:jc w:val="center"/>
              <w:ind w:right="174"/>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1-10466</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8"/>
                <w:szCs w:val="18"/>
                <w:b w:val="1"/>
                <w:bCs w:val="1"/>
                <w:color w:val="auto"/>
                <w:w w:val="98"/>
              </w:rPr>
              <w:t>59-0432511</w:t>
            </w:r>
          </w:p>
        </w:tc>
        <w:tc>
          <w:tcPr>
            <w:tcW w:w="0" w:type="dxa"/>
            <w:vAlign w:val="bottom"/>
          </w:tcPr>
          <w:p>
            <w:pPr>
              <w:spacing w:after="0"/>
              <w:rPr>
                <w:sz w:val="1"/>
                <w:szCs w:val="1"/>
                <w:color w:val="auto"/>
              </w:rPr>
            </w:pPr>
          </w:p>
        </w:tc>
      </w:tr>
      <w:tr>
        <w:trPr>
          <w:trHeight w:val="184"/>
        </w:trPr>
        <w:tc>
          <w:tcPr>
            <w:tcW w:w="2380" w:type="dxa"/>
            <w:vAlign w:val="bottom"/>
          </w:tcPr>
          <w:p>
            <w:pPr>
              <w:jc w:val="center"/>
              <w:ind w:right="174"/>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860" w:type="dxa"/>
            <w:vAlign w:val="bottom"/>
          </w:tcPr>
          <w:p>
            <w:pPr>
              <w:spacing w:after="0"/>
              <w:rPr>
                <w:sz w:val="16"/>
                <w:szCs w:val="16"/>
                <w:color w:val="auto"/>
              </w:rPr>
            </w:pPr>
          </w:p>
        </w:tc>
        <w:tc>
          <w:tcPr>
            <w:tcW w:w="24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20" w:type="dxa"/>
            <w:vAlign w:val="bottom"/>
          </w:tcPr>
          <w:p>
            <w:pPr>
              <w:spacing w:after="0"/>
              <w:rPr>
                <w:sz w:val="16"/>
                <w:szCs w:val="16"/>
                <w:color w:val="auto"/>
              </w:rPr>
            </w:pP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23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8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jc w:val="center"/>
              <w:ind w:left="5"/>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92"/>
        </w:trPr>
        <w:tc>
          <w:tcPr>
            <w:tcW w:w="23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240" w:type="dxa"/>
            <w:vAlign w:val="bottom"/>
            <w:gridSpan w:val="2"/>
          </w:tcPr>
          <w:p>
            <w:pPr>
              <w:jc w:val="center"/>
              <w:ind w:left="274"/>
              <w:spacing w:after="0"/>
              <w:rPr>
                <w:sz w:val="20"/>
                <w:szCs w:val="20"/>
                <w:color w:val="auto"/>
              </w:rPr>
            </w:pPr>
            <w:r>
              <w:rPr>
                <w:rFonts w:ascii="Times New Roman" w:cs="Times New Roman" w:eastAsia="Times New Roman" w:hAnsi="Times New Roman"/>
                <w:sz w:val="18"/>
                <w:szCs w:val="18"/>
                <w:b w:val="1"/>
                <w:bCs w:val="1"/>
                <w:color w:val="auto"/>
                <w:w w:val="99"/>
              </w:rPr>
              <w:t>130 Richard Jackson Blvd, Suite 200</w:t>
            </w: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40" w:type="dxa"/>
            <w:vAlign w:val="bottom"/>
            <w:gridSpan w:val="2"/>
          </w:tcPr>
          <w:p>
            <w:pPr>
              <w:jc w:val="center"/>
              <w:ind w:left="294"/>
              <w:spacing w:after="0"/>
              <w:rPr>
                <w:sz w:val="20"/>
                <w:szCs w:val="20"/>
                <w:color w:val="auto"/>
              </w:rPr>
            </w:pPr>
            <w:r>
              <w:rPr>
                <w:rFonts w:ascii="Times New Roman" w:cs="Times New Roman" w:eastAsia="Times New Roman" w:hAnsi="Times New Roman"/>
                <w:sz w:val="18"/>
                <w:szCs w:val="18"/>
                <w:b w:val="1"/>
                <w:bCs w:val="1"/>
                <w:color w:val="auto"/>
                <w:w w:val="99"/>
              </w:rPr>
              <w:t>Panama City Beach, Florida</w:t>
            </w:r>
          </w:p>
        </w:tc>
        <w:tc>
          <w:tcPr>
            <w:tcW w:w="2400" w:type="dxa"/>
            <w:vAlign w:val="bottom"/>
          </w:tcPr>
          <w:p>
            <w:pPr>
              <w:spacing w:after="0"/>
              <w:rPr>
                <w:sz w:val="19"/>
                <w:szCs w:val="19"/>
                <w:color w:val="auto"/>
              </w:rPr>
            </w:pPr>
          </w:p>
        </w:tc>
        <w:tc>
          <w:tcPr>
            <w:tcW w:w="1020" w:type="dxa"/>
            <w:vAlign w:val="bottom"/>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rPr>
              <w:t>32407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240" w:type="dxa"/>
            <w:vAlign w:val="bottom"/>
            <w:gridSpan w:val="2"/>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400" w:type="dxa"/>
            <w:vAlign w:val="bottom"/>
          </w:tcPr>
          <w:p>
            <w:pPr>
              <w:spacing w:after="0"/>
              <w:rPr>
                <w:sz w:val="15"/>
                <w:szCs w:val="15"/>
                <w:color w:val="auto"/>
              </w:rPr>
            </w:pPr>
          </w:p>
        </w:tc>
        <w:tc>
          <w:tcPr>
            <w:tcW w:w="102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(850) 231-6400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2379980</wp:posOffset>
            </wp:positionH>
            <wp:positionV relativeFrom="paragraph">
              <wp:posOffset>88900</wp:posOffset>
            </wp:positionV>
            <wp:extent cx="960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23" w:lineRule="exact"/>
        <w:rPr>
          <w:sz w:val="24"/>
          <w:szCs w:val="24"/>
          <w:color w:val="auto"/>
        </w:rPr>
      </w:pPr>
    </w:p>
    <w:p>
      <w:pPr>
        <w:jc w:val="center"/>
        <w:ind w:left="150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highlight w:val="black"/>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highlight w:val="black"/>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highlight w:val="black"/>
        </w:rPr>
      </w:pPr>
    </w:p>
    <w:p>
      <w:pPr>
        <w:ind w:left="460" w:hanging="410"/>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9" w:lineRule="exact"/>
        <w:rPr>
          <w:sz w:val="24"/>
          <w:szCs w:val="24"/>
          <w:color w:val="auto"/>
        </w:rPr>
      </w:pPr>
    </w:p>
    <w:tbl>
      <w:tblPr>
        <w:tblLayout w:type="fixed"/>
        <w:tblInd w:w="50" w:type="dxa"/>
        <w:tblCellMar>
          <w:top w:w="0" w:type="dxa"/>
          <w:left w:w="0" w:type="dxa"/>
          <w:bottom w:w="0" w:type="dxa"/>
          <w:right w:w="0" w:type="dxa"/>
        </w:tblCellMar>
      </w:tblPr>
      <w:tr>
        <w:trPr>
          <w:trHeight w:val="211"/>
        </w:trPr>
        <w:tc>
          <w:tcPr>
            <w:tcW w:w="2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80" w:type="dxa"/>
            <w:vAlign w:val="bottom"/>
            <w:tcBorders>
              <w:left w:val="single" w:sz="8" w:color="auto"/>
              <w:bottom w:val="single" w:sz="8" w:color="auto"/>
              <w:right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1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JOE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bl>
    <w:p>
      <w:pPr>
        <w:spacing w:after="0" w:line="198" w:lineRule="exact"/>
        <w:rPr>
          <w:sz w:val="24"/>
          <w:szCs w:val="24"/>
          <w:color w:val="auto"/>
        </w:rPr>
      </w:pPr>
    </w:p>
    <w:p>
      <w:pPr>
        <w:ind w:left="60" w:right="7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-16510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ind w:left="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Vote of Security Holders.</w:t>
      </w:r>
    </w:p>
    <w:p>
      <w:pPr>
        <w:spacing w:after="0" w:line="22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20"/>
          <w:szCs w:val="20"/>
          <w:color w:val="auto"/>
        </w:rPr>
        <w:t>On May 12, 2026, The St. Joe Company (the “Company”) held its 2026 Annual Meeting of Shareholders (the “2026 Annual Meeting). At the 2026 Annual Meeting, the Company’s shareholders voted on</w:t>
      </w:r>
    </w:p>
    <w:p>
      <w:pPr>
        <w:spacing w:after="0" w:line="2" w:lineRule="exact"/>
        <w:rPr>
          <w:sz w:val="20"/>
          <w:szCs w:val="20"/>
          <w:color w:val="auto"/>
        </w:rPr>
      </w:pPr>
    </w:p>
    <w:p>
      <w:pPr>
        <w:jc w:val="both"/>
        <w:ind w:left="60" w:right="59" w:hanging="10"/>
        <w:spacing w:after="0" w:line="241" w:lineRule="auto"/>
        <w:tabs>
          <w:tab w:leader="none" w:pos="3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election of six director nominees (Proposal 1), (ii) the ratification of the appointment of GRANT THORNTON LLP as the Company’s independent registered public accounting firm for the 2026 fiscal year (Proposal 2), and (iii) the approval, on an advisory basis, of the compensation of the Company’s named executive officers (Proposal 3). The results of the votes are set forth below.</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Proposal 1</w:t>
      </w:r>
    </w:p>
    <w:p>
      <w:pPr>
        <w:spacing w:after="0" w:line="233" w:lineRule="exact"/>
        <w:rPr>
          <w:sz w:val="20"/>
          <w:szCs w:val="20"/>
          <w:color w:val="auto"/>
        </w:rPr>
      </w:pPr>
    </w:p>
    <w:p>
      <w:pPr>
        <w:jc w:val="both"/>
        <w:ind w:left="60" w:right="79" w:firstLine="648"/>
        <w:spacing w:after="0" w:line="254" w:lineRule="auto"/>
        <w:rPr>
          <w:sz w:val="20"/>
          <w:szCs w:val="20"/>
          <w:color w:val="auto"/>
        </w:rPr>
      </w:pPr>
      <w:r>
        <w:rPr>
          <w:rFonts w:ascii="Times New Roman" w:cs="Times New Roman" w:eastAsia="Times New Roman" w:hAnsi="Times New Roman"/>
          <w:sz w:val="20"/>
          <w:szCs w:val="20"/>
          <w:color w:val="auto"/>
        </w:rPr>
        <w:t>The shareholders voted in favor of the election of the following director nominees for a term of office expiring at the 2027 Annual Meeting of Shareholders and, in each case, until his/her successor is duly elected and qualified.</w:t>
      </w:r>
    </w:p>
    <w:p>
      <w:pPr>
        <w:spacing w:after="0" w:line="204" w:lineRule="exact"/>
        <w:rPr>
          <w:sz w:val="20"/>
          <w:szCs w:val="20"/>
          <w:color w:val="auto"/>
        </w:rPr>
      </w:pPr>
    </w:p>
    <w:tbl>
      <w:tblPr>
        <w:tblLayout w:type="fixed"/>
        <w:tblInd w:w="70" w:type="dxa"/>
        <w:tblCellMar>
          <w:top w:w="0" w:type="dxa"/>
          <w:left w:w="0" w:type="dxa"/>
          <w:bottom w:w="0" w:type="dxa"/>
          <w:right w:w="0" w:type="dxa"/>
        </w:tblCellMar>
      </w:tblPr>
      <w:tr>
        <w:trPr>
          <w:trHeight w:val="270"/>
        </w:trPr>
        <w:tc>
          <w:tcPr>
            <w:tcW w:w="242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Director Nominee</w:t>
            </w:r>
          </w:p>
        </w:tc>
        <w:tc>
          <w:tcPr>
            <w:tcW w:w="1640" w:type="dxa"/>
            <w:vAlign w:val="bottom"/>
            <w:tcBorders>
              <w:top w:val="single" w:sz="8" w:color="auto"/>
              <w:bottom w:val="single" w:sz="8" w:color="auto"/>
              <w:right w:val="single" w:sz="8" w:color="auto"/>
            </w:tcBorders>
          </w:tcPr>
          <w:p>
            <w:pPr>
              <w:jc w:val="right"/>
              <w:ind w:right="609"/>
              <w:spacing w:after="0"/>
              <w:rPr>
                <w:sz w:val="20"/>
                <w:szCs w:val="20"/>
                <w:color w:val="auto"/>
              </w:rPr>
            </w:pPr>
            <w:r>
              <w:rPr>
                <w:rFonts w:ascii="Times New Roman" w:cs="Times New Roman" w:eastAsia="Times New Roman" w:hAnsi="Times New Roman"/>
                <w:sz w:val="20"/>
                <w:szCs w:val="20"/>
                <w:color w:val="auto"/>
              </w:rPr>
              <w:t>For</w:t>
            </w:r>
          </w:p>
        </w:tc>
        <w:tc>
          <w:tcPr>
            <w:tcW w:w="1580" w:type="dxa"/>
            <w:vAlign w:val="bottom"/>
            <w:tcBorders>
              <w:top w:val="single" w:sz="8" w:color="auto"/>
              <w:bottom w:val="single" w:sz="8" w:color="auto"/>
              <w:right w:val="single" w:sz="8" w:color="auto"/>
            </w:tcBorders>
          </w:tcPr>
          <w:p>
            <w:pPr>
              <w:jc w:val="right"/>
              <w:ind w:right="409"/>
              <w:spacing w:after="0"/>
              <w:rPr>
                <w:sz w:val="20"/>
                <w:szCs w:val="20"/>
                <w:color w:val="auto"/>
              </w:rPr>
            </w:pPr>
            <w:r>
              <w:rPr>
                <w:rFonts w:ascii="Times New Roman" w:cs="Times New Roman" w:eastAsia="Times New Roman" w:hAnsi="Times New Roman"/>
                <w:sz w:val="20"/>
                <w:szCs w:val="20"/>
                <w:color w:val="auto"/>
              </w:rPr>
              <w:t>Against</w:t>
            </w:r>
          </w:p>
        </w:tc>
        <w:tc>
          <w:tcPr>
            <w:tcW w:w="1500" w:type="dxa"/>
            <w:vAlign w:val="bottom"/>
            <w:tcBorders>
              <w:top w:val="single" w:sz="8" w:color="auto"/>
              <w:bottom w:val="single" w:sz="8" w:color="auto"/>
              <w:right w:val="single" w:sz="8" w:color="auto"/>
            </w:tcBorders>
          </w:tcPr>
          <w:p>
            <w:pPr>
              <w:jc w:val="right"/>
              <w:ind w:right="369"/>
              <w:spacing w:after="0"/>
              <w:rPr>
                <w:sz w:val="20"/>
                <w:szCs w:val="20"/>
                <w:color w:val="auto"/>
              </w:rPr>
            </w:pPr>
            <w:r>
              <w:rPr>
                <w:rFonts w:ascii="Times New Roman" w:cs="Times New Roman" w:eastAsia="Times New Roman" w:hAnsi="Times New Roman"/>
                <w:sz w:val="20"/>
                <w:szCs w:val="20"/>
                <w:color w:val="auto"/>
              </w:rPr>
              <w:t>Abstain</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Broker Non-Vote</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Cesar L. Alvarez</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45,153,329</w:t>
            </w:r>
          </w:p>
        </w:tc>
        <w:tc>
          <w:tcPr>
            <w:tcW w:w="1580" w:type="dxa"/>
            <w:vAlign w:val="bottom"/>
            <w:tcBorders>
              <w:bottom w:val="single" w:sz="8" w:color="auto"/>
              <w:right w:val="single" w:sz="8" w:color="auto"/>
            </w:tcBorders>
          </w:tcPr>
          <w:p>
            <w:pPr>
              <w:jc w:val="right"/>
              <w:ind w:right="589"/>
              <w:spacing w:after="0"/>
              <w:rPr>
                <w:sz w:val="20"/>
                <w:szCs w:val="20"/>
                <w:color w:val="auto"/>
              </w:rPr>
            </w:pPr>
            <w:r>
              <w:rPr>
                <w:rFonts w:ascii="Times New Roman" w:cs="Times New Roman" w:eastAsia="Times New Roman" w:hAnsi="Times New Roman"/>
                <w:sz w:val="18"/>
                <w:szCs w:val="18"/>
                <w:color w:val="auto"/>
              </w:rPr>
              <w:t>470,871</w:t>
            </w:r>
          </w:p>
        </w:tc>
        <w:tc>
          <w:tcPr>
            <w:tcW w:w="1500" w:type="dxa"/>
            <w:vAlign w:val="bottom"/>
            <w:tcBorders>
              <w:bottom w:val="single" w:sz="8" w:color="auto"/>
              <w:right w:val="single" w:sz="8" w:color="auto"/>
            </w:tcBorders>
          </w:tcPr>
          <w:p>
            <w:pPr>
              <w:jc w:val="right"/>
              <w:ind w:right="549"/>
              <w:spacing w:after="0"/>
              <w:rPr>
                <w:sz w:val="20"/>
                <w:szCs w:val="20"/>
                <w:color w:val="auto"/>
              </w:rPr>
            </w:pPr>
            <w:r>
              <w:rPr>
                <w:rFonts w:ascii="Times New Roman" w:cs="Times New Roman" w:eastAsia="Times New Roman" w:hAnsi="Times New Roman"/>
                <w:sz w:val="18"/>
                <w:szCs w:val="18"/>
                <w:color w:val="auto"/>
              </w:rPr>
              <w:t>187,745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Howard S. Frank</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44,939,725</w:t>
            </w:r>
          </w:p>
        </w:tc>
        <w:tc>
          <w:tcPr>
            <w:tcW w:w="1580" w:type="dxa"/>
            <w:vAlign w:val="bottom"/>
            <w:tcBorders>
              <w:bottom w:val="single" w:sz="8" w:color="auto"/>
              <w:right w:val="single" w:sz="8" w:color="auto"/>
            </w:tcBorders>
          </w:tcPr>
          <w:p>
            <w:pPr>
              <w:jc w:val="right"/>
              <w:ind w:right="589"/>
              <w:spacing w:after="0"/>
              <w:rPr>
                <w:sz w:val="20"/>
                <w:szCs w:val="20"/>
                <w:color w:val="auto"/>
              </w:rPr>
            </w:pPr>
            <w:r>
              <w:rPr>
                <w:rFonts w:ascii="Times New Roman" w:cs="Times New Roman" w:eastAsia="Times New Roman" w:hAnsi="Times New Roman"/>
                <w:sz w:val="18"/>
                <w:szCs w:val="18"/>
                <w:color w:val="auto"/>
              </w:rPr>
              <w:t>683,536</w:t>
            </w:r>
          </w:p>
        </w:tc>
        <w:tc>
          <w:tcPr>
            <w:tcW w:w="1500" w:type="dxa"/>
            <w:vAlign w:val="bottom"/>
            <w:tcBorders>
              <w:bottom w:val="single" w:sz="8" w:color="auto"/>
              <w:right w:val="single" w:sz="8" w:color="auto"/>
            </w:tcBorders>
          </w:tcPr>
          <w:p>
            <w:pPr>
              <w:jc w:val="right"/>
              <w:ind w:right="549"/>
              <w:spacing w:after="0"/>
              <w:rPr>
                <w:sz w:val="20"/>
                <w:szCs w:val="20"/>
                <w:color w:val="auto"/>
              </w:rPr>
            </w:pPr>
            <w:r>
              <w:rPr>
                <w:rFonts w:ascii="Times New Roman" w:cs="Times New Roman" w:eastAsia="Times New Roman" w:hAnsi="Times New Roman"/>
                <w:sz w:val="18"/>
                <w:szCs w:val="18"/>
                <w:color w:val="auto"/>
              </w:rPr>
              <w:t>188,684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Elizabeth D. Franklin</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45,734,971</w:t>
            </w:r>
          </w:p>
        </w:tc>
        <w:tc>
          <w:tcPr>
            <w:tcW w:w="1580" w:type="dxa"/>
            <w:vAlign w:val="bottom"/>
            <w:tcBorders>
              <w:bottom w:val="single" w:sz="8" w:color="auto"/>
              <w:right w:val="single" w:sz="8" w:color="auto"/>
            </w:tcBorders>
          </w:tcPr>
          <w:p>
            <w:pPr>
              <w:jc w:val="right"/>
              <w:ind w:right="609"/>
              <w:spacing w:after="0"/>
              <w:rPr>
                <w:sz w:val="20"/>
                <w:szCs w:val="20"/>
                <w:color w:val="auto"/>
              </w:rPr>
            </w:pPr>
            <w:r>
              <w:rPr>
                <w:rFonts w:ascii="Times New Roman" w:cs="Times New Roman" w:eastAsia="Times New Roman" w:hAnsi="Times New Roman"/>
                <w:sz w:val="18"/>
                <w:szCs w:val="18"/>
                <w:color w:val="auto"/>
              </w:rPr>
              <w:t>54,122</w:t>
            </w:r>
          </w:p>
        </w:tc>
        <w:tc>
          <w:tcPr>
            <w:tcW w:w="1500" w:type="dxa"/>
            <w:vAlign w:val="bottom"/>
            <w:tcBorders>
              <w:bottom w:val="single" w:sz="8" w:color="auto"/>
              <w:right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color w:val="auto"/>
              </w:rPr>
              <w:t>22,852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Rhea Goff</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45,221,442</w:t>
            </w:r>
          </w:p>
        </w:tc>
        <w:tc>
          <w:tcPr>
            <w:tcW w:w="1580" w:type="dxa"/>
            <w:vAlign w:val="bottom"/>
            <w:tcBorders>
              <w:bottom w:val="single" w:sz="8" w:color="auto"/>
              <w:right w:val="single" w:sz="8" w:color="auto"/>
            </w:tcBorders>
          </w:tcPr>
          <w:p>
            <w:pPr>
              <w:jc w:val="right"/>
              <w:ind w:right="589"/>
              <w:spacing w:after="0"/>
              <w:rPr>
                <w:sz w:val="20"/>
                <w:szCs w:val="20"/>
                <w:color w:val="auto"/>
              </w:rPr>
            </w:pPr>
            <w:r>
              <w:rPr>
                <w:rFonts w:ascii="Times New Roman" w:cs="Times New Roman" w:eastAsia="Times New Roman" w:hAnsi="Times New Roman"/>
                <w:sz w:val="18"/>
                <w:szCs w:val="18"/>
                <w:color w:val="auto"/>
              </w:rPr>
              <w:t>575,604</w:t>
            </w:r>
          </w:p>
        </w:tc>
        <w:tc>
          <w:tcPr>
            <w:tcW w:w="1500" w:type="dxa"/>
            <w:vAlign w:val="bottom"/>
            <w:tcBorders>
              <w:bottom w:val="single" w:sz="8" w:color="auto"/>
              <w:right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color w:val="auto"/>
              </w:rPr>
              <w:t>14,899</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Jorge L. Gonzalez</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45,553,801</w:t>
            </w:r>
          </w:p>
        </w:tc>
        <w:tc>
          <w:tcPr>
            <w:tcW w:w="1580" w:type="dxa"/>
            <w:vAlign w:val="bottom"/>
            <w:tcBorders>
              <w:bottom w:val="single" w:sz="8" w:color="auto"/>
              <w:right w:val="single" w:sz="8" w:color="auto"/>
            </w:tcBorders>
          </w:tcPr>
          <w:p>
            <w:pPr>
              <w:jc w:val="right"/>
              <w:ind w:right="589"/>
              <w:spacing w:after="0"/>
              <w:rPr>
                <w:sz w:val="20"/>
                <w:szCs w:val="20"/>
                <w:color w:val="auto"/>
              </w:rPr>
            </w:pPr>
            <w:r>
              <w:rPr>
                <w:rFonts w:ascii="Times New Roman" w:cs="Times New Roman" w:eastAsia="Times New Roman" w:hAnsi="Times New Roman"/>
                <w:sz w:val="18"/>
                <w:szCs w:val="18"/>
                <w:color w:val="auto"/>
              </w:rPr>
              <w:t>242,204</w:t>
            </w:r>
          </w:p>
        </w:tc>
        <w:tc>
          <w:tcPr>
            <w:tcW w:w="1500" w:type="dxa"/>
            <w:vAlign w:val="bottom"/>
            <w:tcBorders>
              <w:bottom w:val="single" w:sz="8" w:color="auto"/>
              <w:right w:val="single" w:sz="8" w:color="auto"/>
            </w:tcBorders>
          </w:tcPr>
          <w:p>
            <w:pPr>
              <w:jc w:val="right"/>
              <w:ind w:right="569"/>
              <w:spacing w:after="0"/>
              <w:rPr>
                <w:sz w:val="20"/>
                <w:szCs w:val="20"/>
                <w:color w:val="auto"/>
              </w:rPr>
            </w:pPr>
            <w:r>
              <w:rPr>
                <w:rFonts w:ascii="Times New Roman" w:cs="Times New Roman" w:eastAsia="Times New Roman" w:hAnsi="Times New Roman"/>
                <w:sz w:val="18"/>
                <w:szCs w:val="18"/>
                <w:color w:val="auto"/>
              </w:rPr>
              <w:t>15,940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r>
        <w:trPr>
          <w:trHeight w:val="223"/>
        </w:trPr>
        <w:tc>
          <w:tcPr>
            <w:tcW w:w="2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Thomas P. Murphy, Jr.</w:t>
            </w:r>
          </w:p>
        </w:tc>
        <w:tc>
          <w:tcPr>
            <w:tcW w:w="1640" w:type="dxa"/>
            <w:vAlign w:val="bottom"/>
            <w:tcBorders>
              <w:bottom w:val="single" w:sz="8" w:color="auto"/>
              <w:right w:val="single" w:sz="8" w:color="auto"/>
            </w:tcBorders>
          </w:tcPr>
          <w:p>
            <w:pPr>
              <w:jc w:val="right"/>
              <w:ind w:right="509"/>
              <w:spacing w:after="0"/>
              <w:rPr>
                <w:sz w:val="20"/>
                <w:szCs w:val="20"/>
                <w:color w:val="auto"/>
              </w:rPr>
            </w:pPr>
            <w:r>
              <w:rPr>
                <w:rFonts w:ascii="Times New Roman" w:cs="Times New Roman" w:eastAsia="Times New Roman" w:hAnsi="Times New Roman"/>
                <w:sz w:val="18"/>
                <w:szCs w:val="18"/>
                <w:color w:val="auto"/>
              </w:rPr>
              <w:t>45,160,695</w:t>
            </w:r>
          </w:p>
        </w:tc>
        <w:tc>
          <w:tcPr>
            <w:tcW w:w="1580" w:type="dxa"/>
            <w:vAlign w:val="bottom"/>
            <w:tcBorders>
              <w:bottom w:val="single" w:sz="8" w:color="auto"/>
              <w:right w:val="single" w:sz="8" w:color="auto"/>
            </w:tcBorders>
          </w:tcPr>
          <w:p>
            <w:pPr>
              <w:jc w:val="right"/>
              <w:ind w:right="589"/>
              <w:spacing w:after="0"/>
              <w:rPr>
                <w:sz w:val="20"/>
                <w:szCs w:val="20"/>
                <w:color w:val="auto"/>
              </w:rPr>
            </w:pPr>
            <w:r>
              <w:rPr>
                <w:rFonts w:ascii="Times New Roman" w:cs="Times New Roman" w:eastAsia="Times New Roman" w:hAnsi="Times New Roman"/>
                <w:sz w:val="18"/>
                <w:szCs w:val="18"/>
                <w:color w:val="auto"/>
              </w:rPr>
              <w:t>464,702</w:t>
            </w:r>
          </w:p>
        </w:tc>
        <w:tc>
          <w:tcPr>
            <w:tcW w:w="1500" w:type="dxa"/>
            <w:vAlign w:val="bottom"/>
            <w:tcBorders>
              <w:bottom w:val="single" w:sz="8" w:color="auto"/>
              <w:right w:val="single" w:sz="8" w:color="auto"/>
            </w:tcBorders>
          </w:tcPr>
          <w:p>
            <w:pPr>
              <w:jc w:val="right"/>
              <w:ind w:right="549"/>
              <w:spacing w:after="0"/>
              <w:rPr>
                <w:sz w:val="20"/>
                <w:szCs w:val="20"/>
                <w:color w:val="auto"/>
              </w:rPr>
            </w:pPr>
            <w:r>
              <w:rPr>
                <w:rFonts w:ascii="Times New Roman" w:cs="Times New Roman" w:eastAsia="Times New Roman" w:hAnsi="Times New Roman"/>
                <w:sz w:val="18"/>
                <w:szCs w:val="18"/>
                <w:color w:val="auto"/>
              </w:rPr>
              <w:t>186,548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6,267,692</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Proposal 2</w:t>
      </w:r>
    </w:p>
    <w:p>
      <w:pPr>
        <w:spacing w:after="0" w:line="233"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20"/>
          <w:szCs w:val="20"/>
          <w:color w:val="auto"/>
        </w:rPr>
        <w:t>The shareholders voted in favor of ratification of the appointment of GRANT THORNTON LLP as the Company’s independent registered public accounting firm for the 2026 fiscal year.</w:t>
      </w:r>
    </w:p>
    <w:p>
      <w:pPr>
        <w:spacing w:after="0" w:line="189" w:lineRule="exact"/>
        <w:rPr>
          <w:sz w:val="20"/>
          <w:szCs w:val="20"/>
          <w:color w:val="auto"/>
        </w:rPr>
      </w:pPr>
    </w:p>
    <w:tbl>
      <w:tblPr>
        <w:tblLayout w:type="fixed"/>
        <w:tblInd w:w="70" w:type="dxa"/>
        <w:tblCellMar>
          <w:top w:w="0" w:type="dxa"/>
          <w:left w:w="0" w:type="dxa"/>
          <w:bottom w:w="0" w:type="dxa"/>
          <w:right w:w="0" w:type="dxa"/>
        </w:tblCellMar>
      </w:tblPr>
      <w:tr>
        <w:trPr>
          <w:trHeight w:val="270"/>
        </w:trPr>
        <w:tc>
          <w:tcPr>
            <w:tcW w:w="2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Against</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Abstain</w:t>
            </w:r>
          </w:p>
        </w:tc>
      </w:tr>
      <w:tr>
        <w:trPr>
          <w:trHeight w:val="250"/>
        </w:trPr>
        <w:tc>
          <w:tcPr>
            <w:tcW w:w="2980" w:type="dxa"/>
            <w:vAlign w:val="bottom"/>
            <w:tcBorders>
              <w:left w:val="single" w:sz="8" w:color="auto"/>
              <w:bottom w:val="single" w:sz="8" w:color="auto"/>
              <w:right w:val="single" w:sz="8" w:color="auto"/>
            </w:tcBorders>
          </w:tcPr>
          <w:p>
            <w:pPr>
              <w:jc w:val="right"/>
              <w:ind w:right="961"/>
              <w:spacing w:after="0"/>
              <w:rPr>
                <w:sz w:val="20"/>
                <w:szCs w:val="20"/>
                <w:color w:val="auto"/>
              </w:rPr>
            </w:pPr>
            <w:r>
              <w:rPr>
                <w:rFonts w:ascii="Times New Roman" w:cs="Times New Roman" w:eastAsia="Times New Roman" w:hAnsi="Times New Roman"/>
                <w:sz w:val="20"/>
                <w:szCs w:val="20"/>
                <w:color w:val="auto"/>
              </w:rPr>
              <w:t>52,025,888</w:t>
            </w:r>
          </w:p>
        </w:tc>
        <w:tc>
          <w:tcPr>
            <w:tcW w:w="2960" w:type="dxa"/>
            <w:vAlign w:val="bottom"/>
            <w:tcBorders>
              <w:bottom w:val="single" w:sz="8" w:color="auto"/>
              <w:right w:val="single" w:sz="8" w:color="auto"/>
            </w:tcBorders>
          </w:tcPr>
          <w:p>
            <w:pPr>
              <w:jc w:val="right"/>
              <w:ind w:right="1121"/>
              <w:spacing w:after="0"/>
              <w:rPr>
                <w:sz w:val="20"/>
                <w:szCs w:val="20"/>
                <w:color w:val="auto"/>
              </w:rPr>
            </w:pPr>
            <w:r>
              <w:rPr>
                <w:rFonts w:ascii="Times New Roman" w:cs="Times New Roman" w:eastAsia="Times New Roman" w:hAnsi="Times New Roman"/>
                <w:sz w:val="20"/>
                <w:szCs w:val="20"/>
                <w:color w:val="auto"/>
              </w:rPr>
              <w:t>35,247</w:t>
            </w:r>
          </w:p>
        </w:tc>
        <w:tc>
          <w:tcPr>
            <w:tcW w:w="2980" w:type="dxa"/>
            <w:vAlign w:val="bottom"/>
            <w:tcBorders>
              <w:bottom w:val="single" w:sz="8" w:color="auto"/>
              <w:right w:val="single" w:sz="8" w:color="auto"/>
            </w:tcBorders>
          </w:tcPr>
          <w:p>
            <w:pPr>
              <w:jc w:val="right"/>
              <w:ind w:right="1141"/>
              <w:spacing w:after="0"/>
              <w:rPr>
                <w:sz w:val="20"/>
                <w:szCs w:val="20"/>
                <w:color w:val="auto"/>
              </w:rPr>
            </w:pPr>
            <w:r>
              <w:rPr>
                <w:rFonts w:ascii="Times New Roman" w:cs="Times New Roman" w:eastAsia="Times New Roman" w:hAnsi="Times New Roman"/>
                <w:sz w:val="20"/>
                <w:szCs w:val="20"/>
                <w:color w:val="auto"/>
              </w:rPr>
              <w:t>18,502</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Proposal 3</w:t>
      </w:r>
    </w:p>
    <w:p>
      <w:pPr>
        <w:spacing w:after="0" w:line="233"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20"/>
          <w:szCs w:val="20"/>
          <w:color w:val="auto"/>
        </w:rPr>
        <w:t>The shareholders voted in favor of approving, on an advisory basis, the compensation of the Company’s named executive officers.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40" w:type="dxa"/>
            <w:vAlign w:val="bottom"/>
            <w:tcBorders>
              <w:right w:val="single" w:sz="8" w:color="auto"/>
            </w:tcBorders>
          </w:tcPr>
          <w:p>
            <w:pPr>
              <w:spacing w:after="0"/>
              <w:rPr>
                <w:sz w:val="23"/>
                <w:szCs w:val="23"/>
                <w:color w:val="auto"/>
              </w:rPr>
            </w:pP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3"/>
              </w:rPr>
              <w:t>For</w:t>
            </w:r>
          </w:p>
        </w:tc>
        <w:tc>
          <w:tcPr>
            <w:tcW w:w="230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Against</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Abstain</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Broker Non-Vote</w:t>
            </w:r>
          </w:p>
        </w:tc>
      </w:tr>
      <w:tr>
        <w:trPr>
          <w:trHeight w:val="250"/>
        </w:trPr>
        <w:tc>
          <w:tcPr>
            <w:tcW w:w="40" w:type="dxa"/>
            <w:vAlign w:val="bottom"/>
            <w:tcBorders>
              <w:right w:val="single" w:sz="8" w:color="auto"/>
            </w:tcBorders>
          </w:tcPr>
          <w:p>
            <w:pPr>
              <w:spacing w:after="0"/>
              <w:rPr>
                <w:sz w:val="21"/>
                <w:szCs w:val="21"/>
                <w:color w:val="auto"/>
              </w:rPr>
            </w:pPr>
          </w:p>
        </w:tc>
        <w:tc>
          <w:tcPr>
            <w:tcW w:w="2340" w:type="dxa"/>
            <w:vAlign w:val="bottom"/>
            <w:tcBorders>
              <w:bottom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44,814,589</w:t>
            </w:r>
          </w:p>
        </w:tc>
        <w:tc>
          <w:tcPr>
            <w:tcW w:w="230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936,038</w:t>
            </w:r>
          </w:p>
        </w:tc>
        <w:tc>
          <w:tcPr>
            <w:tcW w:w="2260" w:type="dxa"/>
            <w:vAlign w:val="bottom"/>
            <w:tcBorders>
              <w:bottom w:val="single" w:sz="8" w:color="auto"/>
              <w:right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color w:val="auto"/>
              </w:rPr>
              <w:t>61,318</w:t>
            </w:r>
          </w:p>
        </w:tc>
        <w:tc>
          <w:tcPr>
            <w:tcW w:w="2000" w:type="dxa"/>
            <w:vAlign w:val="bottom"/>
            <w:tcBorders>
              <w:bottom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6,267,692</w:t>
            </w:r>
          </w:p>
        </w:tc>
      </w:tr>
      <w:tr>
        <w:trPr>
          <w:trHeight w:val="1229"/>
        </w:trPr>
        <w:tc>
          <w:tcPr>
            <w:tcW w:w="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27" w:lineRule="exact"/>
        <w:rPr>
          <w:sz w:val="20"/>
          <w:szCs w:val="20"/>
          <w:color w:val="auto"/>
        </w:rPr>
      </w:pPr>
    </w:p>
    <w:p>
      <w:pPr>
        <w:ind w:left="60" w:right="379"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THE ST. JOE COMPANY</w:t>
      </w:r>
    </w:p>
    <w:p>
      <w:pPr>
        <w:spacing w:after="0" w:line="220"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By: /s/ Marek Bakun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283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Marek Bakun</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i w:val="1"/>
          <w:iCs w:val="1"/>
          <w:color w:val="auto"/>
        </w:rPr>
        <w:t>Executive Vice President &amp; Chief Financial Officer</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Date: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502920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2026-05-14T15:20:13Z</dcterms:created>
  <dcterms:modified xsi:type="dcterms:W3CDTF">2026-05-14T15:20:13Z</dcterms:modified>
</cp:coreProperties>
</file>