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928370</wp:posOffset>
            </wp:positionH>
            <wp:positionV relativeFrom="page">
              <wp:posOffset>317500</wp:posOffset>
            </wp:positionV>
            <wp:extent cx="56921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92140" cy="22860"/>
                    </a:xfrm>
                    <a:prstGeom prst="rect">
                      <a:avLst/>
                    </a:prstGeom>
                    <a:noFill/>
                  </pic:spPr>
                </pic:pic>
              </a:graphicData>
            </a:graphic>
          </wp:anchor>
        </w:drawing>
        <w:drawing>
          <wp:anchor simplePos="0" relativeHeight="251657728" behindDoc="1" locked="0" layoutInCell="0" allowOverlap="1">
            <wp:simplePos x="0" y="0"/>
            <wp:positionH relativeFrom="page">
              <wp:posOffset>928370</wp:posOffset>
            </wp:positionH>
            <wp:positionV relativeFrom="page">
              <wp:posOffset>363220</wp:posOffset>
            </wp:positionV>
            <wp:extent cx="56921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92140" cy="5715"/>
                    </a:xfrm>
                    <a:prstGeom prst="rect">
                      <a:avLst/>
                    </a:prstGeom>
                    <a:noFill/>
                  </pic:spPr>
                </pic:pic>
              </a:graphicData>
            </a:graphic>
          </wp:anchor>
        </w:drawing>
        <w:t>UNITED STATES</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2374265</wp:posOffset>
            </wp:positionH>
            <wp:positionV relativeFrom="paragraph">
              <wp:posOffset>48260</wp:posOffset>
            </wp:positionV>
            <wp:extent cx="9715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71550" cy="5715"/>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Securities Exchange Act of 1934</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May 12, 2026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The St. Joe Company</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(Exact Name of Registrant as Specified in its Charter)</w:t>
      </w:r>
    </w:p>
    <w:p>
      <w:pPr>
        <w:spacing w:after="0" w:line="85" w:lineRule="exact"/>
        <w:rPr>
          <w:sz w:val="24"/>
          <w:szCs w:val="24"/>
          <w:color w:val="auto"/>
        </w:rPr>
      </w:pPr>
    </w:p>
    <w:tbl>
      <w:tblPr>
        <w:tblLayout w:type="fixed"/>
        <w:tblInd w:w="800" w:type="dxa"/>
        <w:tblCellMar>
          <w:top w:w="0" w:type="dxa"/>
          <w:left w:w="0" w:type="dxa"/>
          <w:bottom w:w="0" w:type="dxa"/>
          <w:right w:w="0" w:type="dxa"/>
        </w:tblCellMar>
      </w:tblPr>
      <w:tr>
        <w:trPr>
          <w:trHeight w:val="144"/>
        </w:trPr>
        <w:tc>
          <w:tcPr>
            <w:tcW w:w="2260" w:type="dxa"/>
            <w:vAlign w:val="bottom"/>
          </w:tcPr>
          <w:p>
            <w:pPr>
              <w:jc w:val="center"/>
              <w:ind w:right="743"/>
              <w:spacing w:after="0"/>
              <w:rPr>
                <w:sz w:val="20"/>
                <w:szCs w:val="20"/>
                <w:color w:val="auto"/>
              </w:rPr>
            </w:pPr>
            <w:r>
              <w:rPr>
                <w:rFonts w:ascii="Times New Roman" w:cs="Times New Roman" w:eastAsia="Times New Roman" w:hAnsi="Times New Roman"/>
                <w:sz w:val="12"/>
                <w:szCs w:val="12"/>
                <w:b w:val="1"/>
                <w:bCs w:val="1"/>
                <w:color w:val="auto"/>
                <w:w w:val="99"/>
              </w:rPr>
              <w:t>Florida</w:t>
            </w:r>
          </w:p>
        </w:tc>
        <w:tc>
          <w:tcPr>
            <w:tcW w:w="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280" w:type="dxa"/>
            <w:vAlign w:val="bottom"/>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rPr>
              <w:t>1-10466</w:t>
            </w:r>
          </w:p>
        </w:tc>
        <w:tc>
          <w:tcPr>
            <w:tcW w:w="5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tcPr>
          <w:p>
            <w:pPr>
              <w:jc w:val="center"/>
              <w:ind w:left="869"/>
              <w:spacing w:after="0"/>
              <w:rPr>
                <w:sz w:val="20"/>
                <w:szCs w:val="20"/>
                <w:color w:val="auto"/>
              </w:rPr>
            </w:pPr>
            <w:r>
              <w:rPr>
                <w:rFonts w:ascii="Times New Roman" w:cs="Times New Roman" w:eastAsia="Times New Roman" w:hAnsi="Times New Roman"/>
                <w:sz w:val="12"/>
                <w:szCs w:val="12"/>
                <w:b w:val="1"/>
                <w:bCs w:val="1"/>
                <w:color w:val="auto"/>
                <w:w w:val="99"/>
              </w:rPr>
              <w:t>59-0432511</w:t>
            </w:r>
          </w:p>
        </w:tc>
        <w:tc>
          <w:tcPr>
            <w:tcW w:w="0" w:type="dxa"/>
            <w:vAlign w:val="bottom"/>
          </w:tcPr>
          <w:p>
            <w:pPr>
              <w:spacing w:after="0"/>
              <w:rPr>
                <w:sz w:val="1"/>
                <w:szCs w:val="1"/>
                <w:color w:val="auto"/>
              </w:rPr>
            </w:pPr>
          </w:p>
        </w:tc>
      </w:tr>
      <w:tr>
        <w:trPr>
          <w:trHeight w:val="123"/>
        </w:trPr>
        <w:tc>
          <w:tcPr>
            <w:tcW w:w="2260" w:type="dxa"/>
            <w:vAlign w:val="bottom"/>
          </w:tcPr>
          <w:p>
            <w:pPr>
              <w:jc w:val="center"/>
              <w:ind w:right="763"/>
              <w:spacing w:after="0" w:line="123" w:lineRule="exact"/>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600" w:type="dxa"/>
            <w:vAlign w:val="bottom"/>
          </w:tcPr>
          <w:p>
            <w:pPr>
              <w:spacing w:after="0"/>
              <w:rPr>
                <w:sz w:val="10"/>
                <w:szCs w:val="10"/>
                <w:color w:val="auto"/>
              </w:rPr>
            </w:pPr>
          </w:p>
        </w:tc>
        <w:tc>
          <w:tcPr>
            <w:tcW w:w="2280" w:type="dxa"/>
            <w:vAlign w:val="bottom"/>
          </w:tcPr>
          <w:p>
            <w:pPr>
              <w:jc w:val="center"/>
              <w:spacing w:after="0" w:line="123" w:lineRule="exact"/>
              <w:rPr>
                <w:sz w:val="20"/>
                <w:szCs w:val="20"/>
                <w:color w:val="auto"/>
              </w:rPr>
            </w:pPr>
            <w:r>
              <w:rPr>
                <w:rFonts w:ascii="Times New Roman" w:cs="Times New Roman" w:eastAsia="Times New Roman" w:hAnsi="Times New Roman"/>
                <w:sz w:val="12"/>
                <w:szCs w:val="12"/>
                <w:b w:val="1"/>
                <w:bCs w:val="1"/>
                <w:color w:val="auto"/>
              </w:rPr>
              <w:t>(Commission File Number)</w:t>
            </w:r>
          </w:p>
        </w:tc>
        <w:tc>
          <w:tcPr>
            <w:tcW w:w="580" w:type="dxa"/>
            <w:vAlign w:val="bottom"/>
          </w:tcPr>
          <w:p>
            <w:pPr>
              <w:spacing w:after="0"/>
              <w:rPr>
                <w:sz w:val="10"/>
                <w:szCs w:val="10"/>
                <w:color w:val="auto"/>
              </w:rPr>
            </w:pPr>
          </w:p>
        </w:tc>
        <w:tc>
          <w:tcPr>
            <w:tcW w:w="1620" w:type="dxa"/>
            <w:vAlign w:val="bottom"/>
          </w:tcPr>
          <w:p>
            <w:pPr>
              <w:jc w:val="center"/>
              <w:ind w:left="849"/>
              <w:spacing w:after="0"/>
              <w:rPr>
                <w:sz w:val="20"/>
                <w:szCs w:val="20"/>
                <w:color w:val="auto"/>
              </w:rPr>
            </w:pPr>
            <w:r>
              <w:rPr>
                <w:rFonts w:ascii="Times New Roman" w:cs="Times New Roman" w:eastAsia="Times New Roman" w:hAnsi="Times New Roman"/>
                <w:sz w:val="9"/>
                <w:szCs w:val="9"/>
                <w:b w:val="1"/>
                <w:bCs w:val="1"/>
                <w:color w:val="auto"/>
              </w:rPr>
              <w:t>(IRS Employer</w:t>
            </w:r>
          </w:p>
        </w:tc>
        <w:tc>
          <w:tcPr>
            <w:tcW w:w="0" w:type="dxa"/>
            <w:vAlign w:val="bottom"/>
          </w:tcPr>
          <w:p>
            <w:pPr>
              <w:spacing w:after="0"/>
              <w:rPr>
                <w:sz w:val="1"/>
                <w:szCs w:val="1"/>
                <w:color w:val="auto"/>
              </w:rPr>
            </w:pPr>
          </w:p>
        </w:tc>
      </w:tr>
      <w:tr>
        <w:trPr>
          <w:trHeight w:val="118"/>
        </w:trPr>
        <w:tc>
          <w:tcPr>
            <w:tcW w:w="2260" w:type="dxa"/>
            <w:vAlign w:val="bottom"/>
            <w:vMerge w:val="restart"/>
          </w:tcPr>
          <w:p>
            <w:pPr>
              <w:jc w:val="center"/>
              <w:ind w:right="763"/>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20" w:type="dxa"/>
            <w:vAlign w:val="bottom"/>
          </w:tcPr>
          <w:p>
            <w:pPr>
              <w:jc w:val="center"/>
              <w:ind w:left="849"/>
              <w:spacing w:after="0"/>
              <w:rPr>
                <w:sz w:val="20"/>
                <w:szCs w:val="20"/>
                <w:color w:val="auto"/>
              </w:rPr>
            </w:pPr>
            <w:r>
              <w:rPr>
                <w:rFonts w:ascii="Times New Roman" w:cs="Times New Roman" w:eastAsia="Times New Roman" w:hAnsi="Times New Roman"/>
                <w:sz w:val="9"/>
                <w:szCs w:val="9"/>
                <w:b w:val="1"/>
                <w:bCs w:val="1"/>
                <w:color w:val="auto"/>
              </w:rPr>
              <w:t>Identification No.)</w:t>
            </w:r>
          </w:p>
        </w:tc>
        <w:tc>
          <w:tcPr>
            <w:tcW w:w="0" w:type="dxa"/>
            <w:vAlign w:val="bottom"/>
          </w:tcPr>
          <w:p>
            <w:pPr>
              <w:spacing w:after="0"/>
              <w:rPr>
                <w:sz w:val="1"/>
                <w:szCs w:val="1"/>
                <w:color w:val="auto"/>
              </w:rPr>
            </w:pPr>
          </w:p>
        </w:tc>
      </w:tr>
      <w:tr>
        <w:trPr>
          <w:trHeight w:val="62"/>
        </w:trPr>
        <w:tc>
          <w:tcPr>
            <w:tcW w:w="22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860" w:type="dxa"/>
            <w:vAlign w:val="bottom"/>
            <w:gridSpan w:val="2"/>
          </w:tcPr>
          <w:p>
            <w:pPr>
              <w:jc w:val="center"/>
              <w:ind w:left="3"/>
              <w:spacing w:after="0"/>
              <w:rPr>
                <w:sz w:val="20"/>
                <w:szCs w:val="20"/>
                <w:color w:val="auto"/>
              </w:rPr>
            </w:pPr>
            <w:r>
              <w:rPr>
                <w:rFonts w:ascii="Times New Roman" w:cs="Times New Roman" w:eastAsia="Times New Roman" w:hAnsi="Times New Roman"/>
                <w:sz w:val="12"/>
                <w:szCs w:val="12"/>
                <w:b w:val="1"/>
                <w:bCs w:val="1"/>
                <w:color w:val="auto"/>
              </w:rPr>
              <w:t>130 Richard Jackson Blvd, Suite 200</w:t>
            </w: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260" w:type="dxa"/>
            <w:vAlign w:val="bottom"/>
          </w:tcPr>
          <w:p>
            <w:pPr>
              <w:jc w:val="center"/>
              <w:ind w:left="603"/>
              <w:spacing w:after="0"/>
              <w:rPr>
                <w:sz w:val="20"/>
                <w:szCs w:val="20"/>
                <w:color w:val="auto"/>
              </w:rPr>
            </w:pPr>
            <w:r>
              <w:rPr>
                <w:rFonts w:ascii="Times New Roman" w:cs="Times New Roman" w:eastAsia="Times New Roman" w:hAnsi="Times New Roman"/>
                <w:sz w:val="12"/>
                <w:szCs w:val="12"/>
                <w:b w:val="1"/>
                <w:bCs w:val="1"/>
                <w:color w:val="auto"/>
                <w:w w:val="99"/>
              </w:rPr>
              <w:t>Panama City Beach, Florida</w:t>
            </w:r>
          </w:p>
        </w:tc>
        <w:tc>
          <w:tcPr>
            <w:tcW w:w="6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tcPr>
          <w:p>
            <w:pPr>
              <w:jc w:val="right"/>
              <w:ind w:right="1189"/>
              <w:spacing w:after="0"/>
              <w:rPr>
                <w:sz w:val="20"/>
                <w:szCs w:val="20"/>
                <w:color w:val="auto"/>
              </w:rPr>
            </w:pPr>
            <w:r>
              <w:rPr>
                <w:rFonts w:ascii="Times New Roman" w:cs="Times New Roman" w:eastAsia="Times New Roman" w:hAnsi="Times New Roman"/>
                <w:sz w:val="12"/>
                <w:szCs w:val="12"/>
                <w:b w:val="1"/>
                <w:bCs w:val="1"/>
                <w:color w:val="auto"/>
              </w:rPr>
              <w:t>32407</w:t>
            </w:r>
          </w:p>
        </w:tc>
        <w:tc>
          <w:tcPr>
            <w:tcW w:w="0" w:type="dxa"/>
            <w:vAlign w:val="bottom"/>
          </w:tcPr>
          <w:p>
            <w:pPr>
              <w:spacing w:after="0"/>
              <w:rPr>
                <w:sz w:val="1"/>
                <w:szCs w:val="1"/>
                <w:color w:val="auto"/>
              </w:rPr>
            </w:pPr>
          </w:p>
        </w:tc>
      </w:tr>
      <w:tr>
        <w:trPr>
          <w:trHeight w:val="118"/>
        </w:trPr>
        <w:tc>
          <w:tcPr>
            <w:tcW w:w="2260" w:type="dxa"/>
            <w:vAlign w:val="bottom"/>
          </w:tcPr>
          <w:p>
            <w:pPr>
              <w:jc w:val="center"/>
              <w:ind w:left="623"/>
              <w:spacing w:after="0"/>
              <w:rPr>
                <w:sz w:val="20"/>
                <w:szCs w:val="20"/>
                <w:color w:val="auto"/>
              </w:rPr>
            </w:pPr>
            <w:r>
              <w:rPr>
                <w:rFonts w:ascii="Times New Roman" w:cs="Times New Roman" w:eastAsia="Times New Roman" w:hAnsi="Times New Roman"/>
                <w:sz w:val="9"/>
                <w:szCs w:val="9"/>
                <w:b w:val="1"/>
                <w:bCs w:val="1"/>
                <w:color w:val="auto"/>
                <w:w w:val="99"/>
              </w:rPr>
              <w:t>(Address of Principal Executive Offices)</w:t>
            </w:r>
          </w:p>
        </w:tc>
        <w:tc>
          <w:tcPr>
            <w:tcW w:w="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20" w:type="dxa"/>
            <w:vAlign w:val="bottom"/>
          </w:tcPr>
          <w:p>
            <w:pPr>
              <w:jc w:val="center"/>
              <w:ind w:right="1109"/>
              <w:spacing w:after="0"/>
              <w:rPr>
                <w:sz w:val="20"/>
                <w:szCs w:val="20"/>
                <w:color w:val="auto"/>
              </w:rPr>
            </w:pPr>
            <w:r>
              <w:rPr>
                <w:rFonts w:ascii="Times New Roman" w:cs="Times New Roman" w:eastAsia="Times New Roman" w:hAnsi="Times New Roman"/>
                <w:sz w:val="9"/>
                <w:szCs w:val="9"/>
                <w:b w:val="1"/>
                <w:bCs w:val="1"/>
                <w:color w:val="auto"/>
              </w:rPr>
              <w:t>(Zip Code)</w:t>
            </w:r>
          </w:p>
        </w:tc>
        <w:tc>
          <w:tcPr>
            <w:tcW w:w="0" w:type="dxa"/>
            <w:vAlign w:val="bottom"/>
          </w:tcPr>
          <w:p>
            <w:pPr>
              <w:spacing w:after="0"/>
              <w:rPr>
                <w:sz w:val="1"/>
                <w:szCs w:val="1"/>
                <w:color w:val="auto"/>
              </w:rPr>
            </w:pPr>
          </w:p>
        </w:tc>
      </w:tr>
    </w:tbl>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(850) 231-6400</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2374265</wp:posOffset>
            </wp:positionH>
            <wp:positionV relativeFrom="paragraph">
              <wp:posOffset>57150</wp:posOffset>
            </wp:positionV>
            <wp:extent cx="9715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71550" cy="5715"/>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05" w:lineRule="exact"/>
        <w:rPr>
          <w:sz w:val="24"/>
          <w:szCs w:val="24"/>
          <w:color w:val="auto"/>
        </w:rPr>
      </w:pPr>
    </w:p>
    <w:p>
      <w:pPr>
        <w:ind w:left="300" w:hanging="278"/>
        <w:spacing w:after="0"/>
        <w:tabs>
          <w:tab w:leader="none" w:pos="3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05" w:lineRule="exact"/>
        <w:rPr>
          <w:rFonts w:ascii="MS PGothic" w:cs="MS PGothic" w:eastAsia="MS PGothic" w:hAnsi="MS PGothic"/>
          <w:sz w:val="12"/>
          <w:szCs w:val="12"/>
          <w:color w:val="auto"/>
        </w:rPr>
      </w:pPr>
    </w:p>
    <w:p>
      <w:pPr>
        <w:ind w:left="300" w:hanging="278"/>
        <w:spacing w:after="0"/>
        <w:tabs>
          <w:tab w:leader="none" w:pos="3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05" w:lineRule="exact"/>
        <w:rPr>
          <w:rFonts w:ascii="MS PGothic" w:cs="MS PGothic" w:eastAsia="MS PGothic" w:hAnsi="MS PGothic"/>
          <w:sz w:val="12"/>
          <w:szCs w:val="12"/>
          <w:color w:val="auto"/>
        </w:rPr>
      </w:pPr>
    </w:p>
    <w:p>
      <w:pPr>
        <w:ind w:left="300" w:hanging="278"/>
        <w:spacing w:after="0"/>
        <w:tabs>
          <w:tab w:leader="none" w:pos="3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left="20" w:right="3359" w:firstLine="2"/>
        <w:spacing w:after="0" w:line="439" w:lineRule="auto"/>
        <w:tabs>
          <w:tab w:leader="none" w:pos="29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134"/>
        </w:trPr>
        <w:tc>
          <w:tcPr>
            <w:tcW w:w="3000" w:type="dxa"/>
            <w:vAlign w:val="bottom"/>
            <w:tcBorders>
              <w:top w:val="single" w:sz="8" w:color="auto"/>
              <w:left w:val="single" w:sz="8" w:color="auto"/>
              <w:bottom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w w:val="98"/>
              </w:rPr>
              <w:t>Title of Each Class</w:t>
            </w:r>
          </w:p>
        </w:tc>
        <w:tc>
          <w:tcPr>
            <w:tcW w:w="2960" w:type="dxa"/>
            <w:vAlign w:val="bottom"/>
            <w:tcBorders>
              <w:top w:val="single" w:sz="8" w:color="auto"/>
              <w:bottom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w w:val="98"/>
              </w:rPr>
              <w:t>Trading symbol(s)</w:t>
            </w:r>
          </w:p>
        </w:tc>
        <w:tc>
          <w:tcPr>
            <w:tcW w:w="2980" w:type="dxa"/>
            <w:vAlign w:val="bottom"/>
            <w:tcBorders>
              <w:top w:val="single" w:sz="8" w:color="auto"/>
              <w:bottom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33"/>
        </w:trPr>
        <w:tc>
          <w:tcPr>
            <w:tcW w:w="300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Common Stock</w:t>
            </w:r>
          </w:p>
        </w:tc>
        <w:tc>
          <w:tcPr>
            <w:tcW w:w="29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JOE</w:t>
            </w:r>
          </w:p>
        </w:tc>
        <w:tc>
          <w:tcPr>
            <w:tcW w:w="29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NYSE</w:t>
            </w:r>
          </w:p>
        </w:tc>
      </w:tr>
    </w:tbl>
    <w:p>
      <w:pPr>
        <w:spacing w:after="0" w:line="133" w:lineRule="exact"/>
        <w:rPr>
          <w:sz w:val="24"/>
          <w:szCs w:val="24"/>
          <w:color w:val="auto"/>
        </w:rPr>
      </w:pPr>
    </w:p>
    <w:p>
      <w:pPr>
        <w:ind w:left="20" w:right="39"/>
        <w:spacing w:after="0" w:line="257"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97" w:lineRule="exact"/>
        <w:rPr>
          <w:sz w:val="24"/>
          <w:szCs w:val="24"/>
          <w:color w:val="auto"/>
        </w:rPr>
      </w:pPr>
    </w:p>
    <w:p>
      <w:pPr>
        <w:ind w:left="20" w:right="99"/>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332105</wp:posOffset>
            </wp:positionV>
            <wp:extent cx="56921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92140" cy="1143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52070</wp:posOffset>
            </wp:positionV>
            <wp:extent cx="56921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2140"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80645</wp:posOffset>
            </wp:positionV>
            <wp:extent cx="569214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92140" cy="22860"/>
                    </a:xfrm>
                    <a:prstGeom prst="rect">
                      <a:avLst/>
                    </a:prstGeom>
                    <a:noFill/>
                  </pic:spPr>
                </pic:pic>
              </a:graphicData>
            </a:graphic>
          </wp:anchor>
        </w:drawing>
      </w:r>
    </w:p>
    <w:p>
      <w:pPr>
        <w:sectPr>
          <w:pgSz w:w="11900" w:h="16838" w:orient="portrait"/>
          <w:cols w:equalWidth="0" w:num="1">
            <w:col w:w="9019"/>
          </w:cols>
          <w:pgMar w:left="1440" w:top="603" w:right="1440" w:bottom="1440" w:gutter="0" w:footer="0" w:header="0"/>
        </w:sectPr>
      </w:pPr>
    </w:p>
    <w:bookmarkStart w:id="1" w:name="page2"/>
    <w:bookmarkEnd w:id="1"/>
    <w:p>
      <w:pPr>
        <w:ind w:left="20"/>
        <w:spacing w:after="0"/>
        <w:tabs>
          <w:tab w:leader="none" w:pos="680" w:val="left"/>
        </w:tabs>
        <w:rPr>
          <w:sz w:val="20"/>
          <w:szCs w:val="20"/>
          <w:color w:val="auto"/>
        </w:rPr>
      </w:pPr>
      <w:r>
        <w:rPr>
          <w:rFonts w:ascii="Times New Roman" w:cs="Times New Roman" w:eastAsia="Times New Roman" w:hAnsi="Times New Roman"/>
          <w:sz w:val="13"/>
          <w:szCs w:val="13"/>
          <w:b w:val="1"/>
          <w:bCs w:val="1"/>
          <w:color w:val="auto"/>
        </w:rPr>
        <w:t>Item 7.01</w:t>
        <w:tab/>
        <w:t>Regulation FD Disclosure.</w:t>
      </w:r>
    </w:p>
    <w:p>
      <w:pPr>
        <w:spacing w:after="0" w:line="150" w:lineRule="exact"/>
        <w:rPr>
          <w:sz w:val="20"/>
          <w:szCs w:val="20"/>
          <w:color w:val="auto"/>
        </w:rPr>
      </w:pPr>
    </w:p>
    <w:p>
      <w:pPr>
        <w:ind w:left="20" w:right="219"/>
        <w:spacing w:after="0" w:line="281" w:lineRule="auto"/>
        <w:rPr>
          <w:sz w:val="20"/>
          <w:szCs w:val="20"/>
          <w:color w:val="auto"/>
        </w:rPr>
      </w:pPr>
      <w:r>
        <w:rPr>
          <w:rFonts w:ascii="Times New Roman" w:cs="Times New Roman" w:eastAsia="Times New Roman" w:hAnsi="Times New Roman"/>
          <w:sz w:val="13"/>
          <w:szCs w:val="13"/>
          <w:color w:val="auto"/>
        </w:rPr>
        <w:t>The St. Joe Company (the “Company”) is providing the attached investor presentation that is expected to be presented at the Company’s 2026 Annual Shareholders Meeting on May 12, 2026. A copy of the presentation is available on the Company’s website and is attached hereto as Exhibit 99.1 and incorporated by this reference.</w:t>
      </w:r>
    </w:p>
    <w:p>
      <w:pPr>
        <w:spacing w:after="0" w:line="109" w:lineRule="exact"/>
        <w:rPr>
          <w:sz w:val="20"/>
          <w:szCs w:val="20"/>
          <w:color w:val="auto"/>
        </w:rPr>
      </w:pPr>
    </w:p>
    <w:p>
      <w:pPr>
        <w:ind w:left="20" w:right="179"/>
        <w:spacing w:after="0" w:line="257" w:lineRule="auto"/>
        <w:rPr>
          <w:sz w:val="20"/>
          <w:szCs w:val="20"/>
          <w:color w:val="auto"/>
        </w:rPr>
      </w:pPr>
      <w:r>
        <w:rPr>
          <w:rFonts w:ascii="Times New Roman" w:cs="Times New Roman" w:eastAsia="Times New Roman" w:hAnsi="Times New Roman"/>
          <w:sz w:val="13"/>
          <w:szCs w:val="13"/>
          <w:color w:val="auto"/>
        </w:rPr>
        <w:t>The foregoing information is furnished pursuant to Item 7.01, “Regulation FD”. The information in Item 7.01 of this Current Report on Form 8-K and the exhibit furnished therewith shall not be deemed “filed” for purposes of Section 18 of the Securities Exchange Act of 1934 or otherwise subject to the liabilities of that Section, and shall not be or be deemed to be incorporated by reference in any filing under the Securities Act of 1933 or the Securities Act of 1934, regardless of any general incorporation language in such filing.</w:t>
      </w:r>
    </w:p>
    <w:p>
      <w:pPr>
        <w:spacing w:after="0" w:line="123"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3"/>
          <w:szCs w:val="13"/>
          <w:b w:val="1"/>
          <w:bCs w:val="1"/>
          <w:color w:val="auto"/>
        </w:rPr>
        <w:t>Item 9.01</w:t>
        <w:tab/>
        <w:t>Financial Statements and Exhibits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 Exhibits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exhibits are furnished as part of the Current Report on Form 8-K.</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8300" w:type="dxa"/>
            <w:vAlign w:val="bottom"/>
            <w:gridSpan w:val="2"/>
          </w:tcPr>
          <w:p>
            <w:pPr>
              <w:spacing w:after="0"/>
              <w:rPr>
                <w:sz w:val="20"/>
                <w:szCs w:val="20"/>
                <w:color w:val="auto"/>
              </w:rPr>
            </w:pPr>
            <w:r>
              <w:rPr>
                <w:rFonts w:ascii="Times New Roman" w:cs="Times New Roman" w:eastAsia="Times New Roman" w:hAnsi="Times New Roman"/>
                <w:sz w:val="13"/>
                <w:szCs w:val="13"/>
                <w:color w:val="0000EE"/>
              </w:rPr>
              <w:t>Investor Presentation dated May 12, 2026</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104</w:t>
            </w:r>
          </w:p>
        </w:tc>
        <w:tc>
          <w:tcPr>
            <w:tcW w:w="2200" w:type="dxa"/>
            <w:vAlign w:val="bottom"/>
            <w:shd w:val="clear" w:color="auto" w:fill="0000EE"/>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60" w:type="dxa"/>
            <w:vAlign w:val="bottom"/>
            <w:vMerge w:val="continue"/>
          </w:tcPr>
          <w:p>
            <w:pPr>
              <w:spacing w:after="0"/>
              <w:rPr>
                <w:sz w:val="14"/>
                <w:szCs w:val="14"/>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Cover Page Interactive Data File (formatted in Inline XBRL)</w:t>
            </w:r>
          </w:p>
        </w:tc>
        <w:tc>
          <w:tcPr>
            <w:tcW w:w="0" w:type="dxa"/>
            <w:vAlign w:val="bottom"/>
          </w:tcPr>
          <w:p>
            <w:pPr>
              <w:spacing w:after="0"/>
              <w:rPr>
                <w:sz w:val="1"/>
                <w:szCs w:val="1"/>
                <w:color w:val="auto"/>
              </w:rPr>
            </w:pPr>
          </w:p>
        </w:tc>
      </w:tr>
      <w:tr>
        <w:trPr>
          <w:trHeight w:val="678"/>
        </w:trPr>
        <w:tc>
          <w:tcPr>
            <w:tcW w:w="6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223" w:lineRule="exact"/>
        <w:rPr>
          <w:sz w:val="20"/>
          <w:szCs w:val="20"/>
          <w:color w:val="auto"/>
        </w:rPr>
      </w:pPr>
    </w:p>
    <w:p>
      <w:pPr>
        <w:ind w:left="20" w:right="319" w:firstLine="432"/>
        <w:spacing w:after="0" w:line="281"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0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3"/>
          <w:szCs w:val="13"/>
          <w:color w:val="auto"/>
        </w:rPr>
        <w:t>THE ST. JOE COMPANY</w:t>
      </w:r>
    </w:p>
    <w:p>
      <w:pPr>
        <w:spacing w:after="0" w:line="151" w:lineRule="exact"/>
        <w:rPr>
          <w:sz w:val="20"/>
          <w:szCs w:val="20"/>
          <w:color w:val="auto"/>
        </w:rPr>
      </w:pPr>
    </w:p>
    <w:p>
      <w:pPr>
        <w:ind w:left="4180"/>
        <w:spacing w:after="0"/>
        <w:tabs>
          <w:tab w:leader="none" w:pos="4460" w:val="left"/>
        </w:tabs>
        <w:rPr>
          <w:sz w:val="20"/>
          <w:szCs w:val="20"/>
          <w:color w:val="auto"/>
        </w:rPr>
      </w:pPr>
      <w:r>
        <w:rPr>
          <w:rFonts w:ascii="Times New Roman" w:cs="Times New Roman" w:eastAsia="Times New Roman" w:hAnsi="Times New Roman"/>
          <w:sz w:val="12"/>
          <w:szCs w:val="12"/>
          <w:color w:val="auto"/>
        </w:rPr>
        <w:t>By:</w:t>
        <w:tab/>
        <w:t>/s/ Marek Bakun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10795</wp:posOffset>
            </wp:positionV>
            <wp:extent cx="28575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7500" cy="5715"/>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12"/>
          <w:szCs w:val="12"/>
          <w:color w:val="auto"/>
        </w:rPr>
        <w:t>Marek Bakun</w:t>
      </w:r>
    </w:p>
    <w:p>
      <w:pPr>
        <w:spacing w:after="0" w:line="1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i w:val="1"/>
          <w:iCs w:val="1"/>
          <w:color w:val="auto"/>
        </w:rPr>
        <w:t>Executive Vice President and Chief Financial Officer</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337185</wp:posOffset>
            </wp:positionV>
            <wp:extent cx="56921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37465</wp:posOffset>
            </wp:positionV>
            <wp:extent cx="7087235" cy="4520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2026-05-12T05:32:08Z</dcterms:created>
  <dcterms:modified xsi:type="dcterms:W3CDTF">2026-05-12T05:32:08Z</dcterms:modified>
</cp:coreProperties>
</file>