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197485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118110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135890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9" w:lineRule="exact"/>
        <w:rPr>
          <w:sz w:val="24"/>
          <w:szCs w:val="24"/>
          <w:color w:val="auto"/>
        </w:rPr>
      </w:pPr>
    </w:p>
    <w:p>
      <w:pPr>
        <w:ind w:left="720" w:right="280" w:hanging="576"/>
        <w:spacing w:after="0" w:line="272" w:lineRule="auto"/>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8" w:lineRule="exact"/>
        <w:rPr>
          <w:sz w:val="24"/>
          <w:szCs w:val="24"/>
          <w:color w:val="auto"/>
        </w:rPr>
      </w:pPr>
    </w:p>
    <w:p>
      <w:pPr>
        <w:ind w:left="720" w:right="260" w:hanging="576"/>
        <w:spacing w:after="0" w:line="272" w:lineRule="auto"/>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9" w:lineRule="exact"/>
        <w:rPr>
          <w:sz w:val="24"/>
          <w:szCs w:val="24"/>
          <w:color w:val="auto"/>
        </w:rPr>
      </w:pPr>
    </w:p>
    <w:p>
      <w:pPr>
        <w:ind w:left="3000"/>
        <w:spacing w:after="0"/>
        <w:tabs>
          <w:tab w:leader="none" w:pos="6140" w:val="left"/>
          <w:tab w:leader="none" w:pos="71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1-10466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149225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The St. Joe Company</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135255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jc w:val="right"/>
              <w:ind w:right="2037"/>
              <w:spacing w:after="0"/>
              <w:rPr>
                <w:sz w:val="20"/>
                <w:szCs w:val="20"/>
                <w:color w:val="auto"/>
              </w:rPr>
            </w:pPr>
            <w:r>
              <w:rPr>
                <w:rFonts w:ascii="Times New Roman" w:cs="Times New Roman" w:eastAsia="Times New Roman" w:hAnsi="Times New Roman"/>
                <w:sz w:val="17"/>
                <w:szCs w:val="17"/>
                <w:b w:val="1"/>
                <w:bCs w:val="1"/>
                <w:color w:val="auto"/>
              </w:rPr>
              <w:t>59-0432511</w:t>
            </w:r>
          </w:p>
        </w:tc>
      </w:tr>
      <w:tr>
        <w:trPr>
          <w:trHeight w:val="203"/>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jc w:val="center"/>
              <w:ind w:right="1757"/>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6"/>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40" w:type="dxa"/>
            <w:vAlign w:val="bottom"/>
          </w:tcPr>
          <w:p>
            <w:pPr>
              <w:jc w:val="center"/>
              <w:ind w:right="1737"/>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273"/>
        </w:trPr>
        <w:tc>
          <w:tcPr>
            <w:tcW w:w="4320" w:type="dxa"/>
            <w:vAlign w:val="bottom"/>
            <w:gridSpan w:val="3"/>
          </w:tcPr>
          <w:p>
            <w:pPr>
              <w:jc w:val="center"/>
              <w:ind w:left="758"/>
              <w:spacing w:after="0"/>
              <w:rPr>
                <w:sz w:val="20"/>
                <w:szCs w:val="20"/>
                <w:color w:val="auto"/>
              </w:rPr>
            </w:pPr>
            <w:r>
              <w:rPr>
                <w:rFonts w:ascii="Times New Roman" w:cs="Times New Roman" w:eastAsia="Times New Roman" w:hAnsi="Times New Roman"/>
                <w:sz w:val="17"/>
                <w:szCs w:val="17"/>
                <w:b w:val="1"/>
                <w:bCs w:val="1"/>
                <w:color w:val="auto"/>
              </w:rPr>
              <w:t>130 Richard Jackson Boulevard, Suite 200</w:t>
            </w: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03"/>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Panama City Beach, Florida</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jc w:val="right"/>
              <w:ind w:right="2237"/>
              <w:spacing w:after="0"/>
              <w:rPr>
                <w:sz w:val="20"/>
                <w:szCs w:val="20"/>
                <w:color w:val="auto"/>
              </w:rPr>
            </w:pPr>
            <w:r>
              <w:rPr>
                <w:rFonts w:ascii="Times New Roman" w:cs="Times New Roman" w:eastAsia="Times New Roman" w:hAnsi="Times New Roman"/>
                <w:sz w:val="17"/>
                <w:szCs w:val="17"/>
                <w:b w:val="1"/>
                <w:bCs w:val="1"/>
                <w:color w:val="auto"/>
              </w:rPr>
              <w:t>32407</w:t>
            </w:r>
          </w:p>
        </w:tc>
      </w:tr>
      <w:tr>
        <w:trPr>
          <w:trHeight w:val="226"/>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40" w:type="dxa"/>
            <w:vAlign w:val="bottom"/>
          </w:tcPr>
          <w:p>
            <w:pPr>
              <w:jc w:val="center"/>
              <w:ind w:right="1757"/>
              <w:spacing w:after="0"/>
              <w:rPr>
                <w:sz w:val="20"/>
                <w:szCs w:val="20"/>
                <w:color w:val="auto"/>
              </w:rPr>
            </w:pPr>
            <w:r>
              <w:rPr>
                <w:rFonts w:ascii="Times New Roman" w:cs="Times New Roman" w:eastAsia="Times New Roman" w:hAnsi="Times New Roman"/>
                <w:sz w:val="17"/>
                <w:szCs w:val="17"/>
                <w:b w:val="1"/>
                <w:bCs w:val="1"/>
                <w:color w:val="auto"/>
              </w:rPr>
              <w:t>(Zip Code)</w:t>
            </w:r>
          </w:p>
        </w:tc>
      </w:tr>
      <w:tr>
        <w:trPr>
          <w:trHeight w:val="270"/>
        </w:trPr>
        <w:tc>
          <w:tcPr>
            <w:tcW w:w="3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(850) 231-6400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194"/>
        </w:trPr>
        <w:tc>
          <w:tcPr>
            <w:tcW w:w="6980" w:type="dxa"/>
            <w:vAlign w:val="bottom"/>
            <w:gridSpan w:val="6"/>
          </w:tcPr>
          <w:p>
            <w:pPr>
              <w:jc w:val="center"/>
              <w:ind w:left="319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240" w:type="dxa"/>
            <w:vAlign w:val="bottom"/>
          </w:tcPr>
          <w:p>
            <w:pPr>
              <w:spacing w:after="0"/>
              <w:rPr>
                <w:sz w:val="16"/>
                <w:szCs w:val="16"/>
                <w:color w:val="auto"/>
              </w:rPr>
            </w:pPr>
          </w:p>
        </w:tc>
      </w:tr>
      <w:tr>
        <w:trPr>
          <w:trHeight w:val="190"/>
        </w:trPr>
        <w:tc>
          <w:tcPr>
            <w:tcW w:w="6980" w:type="dxa"/>
            <w:vAlign w:val="bottom"/>
            <w:gridSpan w:val="6"/>
          </w:tcPr>
          <w:p>
            <w:pPr>
              <w:jc w:val="center"/>
              <w:ind w:left="317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40" w:type="dxa"/>
            <w:vAlign w:val="bottom"/>
          </w:tcPr>
          <w:p>
            <w:pPr>
              <w:spacing w:after="0"/>
              <w:rPr>
                <w:sz w:val="16"/>
                <w:szCs w:val="16"/>
                <w:color w:val="auto"/>
              </w:rPr>
            </w:pPr>
          </w:p>
        </w:tc>
      </w:tr>
      <w:tr>
        <w:trPr>
          <w:trHeight w:val="320"/>
        </w:trPr>
        <w:tc>
          <w:tcPr>
            <w:tcW w:w="43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40" w:type="dxa"/>
            <w:vAlign w:val="bottom"/>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2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8"/>
                <w:szCs w:val="18"/>
                <w:color w:val="auto"/>
                <w:w w:val="96"/>
              </w:rPr>
              <w:t>JOE</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tcPr>
          <w:p>
            <w:pPr>
              <w:jc w:val="center"/>
              <w:ind w:right="557"/>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2"/>
        </w:trPr>
        <w:tc>
          <w:tcPr>
            <w:tcW w:w="3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222885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20" w:right="60" w:firstLine="324"/>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1" w:lineRule="exact"/>
        <w:rPr>
          <w:sz w:val="24"/>
          <w:szCs w:val="24"/>
          <w:color w:val="auto"/>
        </w:rPr>
      </w:pPr>
    </w:p>
    <w:p>
      <w:pPr>
        <w:ind w:left="20" w:right="60" w:firstLine="324"/>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7" w:lineRule="exact"/>
        <w:rPr>
          <w:sz w:val="24"/>
          <w:szCs w:val="24"/>
          <w:color w:val="auto"/>
        </w:rPr>
      </w:pPr>
    </w:p>
    <w:p>
      <w:pPr>
        <w:ind w:left="20" w:right="360"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8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46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Accelerated filer</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8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46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7"/>
        </w:trPr>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9" w:lineRule="exact"/>
        <w:rPr>
          <w:sz w:val="24"/>
          <w:szCs w:val="24"/>
          <w:color w:val="auto"/>
        </w:rPr>
      </w:pPr>
    </w:p>
    <w:p>
      <w:pPr>
        <w:ind w:left="20" w:firstLine="324"/>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 w:lineRule="exact"/>
        <w:rPr>
          <w:sz w:val="24"/>
          <w:szCs w:val="24"/>
          <w:color w:val="auto"/>
        </w:rPr>
      </w:pPr>
    </w:p>
    <w:p>
      <w:pPr>
        <w:ind w:left="340" w:right="780"/>
        <w:spacing w:after="0" w:line="27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July 21, 2025, there were 57,908,215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344170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96"/>
        </w:trPr>
        <w:tc>
          <w:tcPr>
            <w:tcW w:w="31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20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r>
      <w:tr>
        <w:trPr>
          <w:trHeight w:val="277"/>
        </w:trPr>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 June 30, 2025 and December 31, 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 Three and Six Months Ended June 30, 2025 and 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 Three and Six Months Ended June 30, 2025 and</w:t>
            </w:r>
          </w:p>
        </w:tc>
        <w:tc>
          <w:tcPr>
            <w:tcW w:w="580" w:type="dxa"/>
            <w:vAlign w:val="bottom"/>
          </w:tcPr>
          <w:p>
            <w:pPr>
              <w:spacing w:after="0"/>
              <w:rPr>
                <w:sz w:val="22"/>
                <w:szCs w:val="22"/>
                <w:color w:val="auto"/>
              </w:rPr>
            </w:pPr>
          </w:p>
        </w:tc>
      </w:tr>
      <w:tr>
        <w:trPr>
          <w:trHeight w:val="196"/>
        </w:trPr>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8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63"/>
        </w:trPr>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 Three and Six Months Ended June 30, 2025 and 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63"/>
        </w:trPr>
        <w:tc>
          <w:tcPr>
            <w:tcW w:w="69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 Six Months Ended June 30, 2025 and 2024</w:t>
            </w:r>
          </w:p>
        </w:tc>
        <w:tc>
          <w:tcPr>
            <w:tcW w:w="460" w:type="dxa"/>
            <w:vAlign w:val="bottom"/>
            <w:tcBorders>
              <w:top w:val="single" w:sz="8" w:color="0000EE"/>
            </w:tcBorders>
            <w:gridSpan w:val="2"/>
          </w:tcPr>
          <w:p>
            <w:pPr>
              <w:spacing w:after="0"/>
              <w:rPr>
                <w:sz w:val="22"/>
                <w:szCs w:val="22"/>
                <w:color w:val="auto"/>
              </w:rPr>
            </w:pPr>
          </w:p>
        </w:tc>
        <w:tc>
          <w:tcPr>
            <w:tcW w:w="900" w:type="dxa"/>
            <w:vAlign w:val="bottom"/>
            <w:gridSpan w:val="2"/>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63"/>
        </w:trPr>
        <w:tc>
          <w:tcPr>
            <w:tcW w:w="42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4060" w:type="dxa"/>
            <w:vAlign w:val="bottom"/>
            <w:gridSpan w:val="8"/>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63"/>
        </w:trPr>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64"/>
        </w:trPr>
        <w:tc>
          <w:tcPr>
            <w:tcW w:w="492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gridSpan w:val="3"/>
          </w:tcPr>
          <w:p>
            <w:pPr>
              <w:spacing w:after="0"/>
              <w:rPr>
                <w:sz w:val="22"/>
                <w:szCs w:val="22"/>
                <w:color w:val="auto"/>
              </w:rPr>
            </w:pPr>
          </w:p>
        </w:tc>
        <w:tc>
          <w:tcPr>
            <w:tcW w:w="1320" w:type="dxa"/>
            <w:vAlign w:val="bottom"/>
            <w:gridSpan w:val="3"/>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63"/>
        </w:trPr>
        <w:tc>
          <w:tcPr>
            <w:tcW w:w="2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980" w:type="dxa"/>
            <w:vAlign w:val="bottom"/>
            <w:gridSpan w:val="13"/>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63"/>
        </w:trPr>
        <w:tc>
          <w:tcPr>
            <w:tcW w:w="28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5500" w:type="dxa"/>
            <w:vAlign w:val="bottom"/>
            <w:gridSpan w:val="12"/>
          </w:tcPr>
          <w:p>
            <w:pPr>
              <w:spacing w:after="0"/>
              <w:rPr>
                <w:sz w:val="22"/>
                <w:szCs w:val="22"/>
                <w:color w:val="auto"/>
              </w:rPr>
            </w:pPr>
          </w:p>
        </w:tc>
        <w:tc>
          <w:tcPr>
            <w:tcW w:w="580" w:type="dxa"/>
            <w:vAlign w:val="bottom"/>
          </w:tcPr>
          <w:p>
            <w:pPr>
              <w:spacing w:after="0"/>
              <w:rPr>
                <w:sz w:val="22"/>
                <w:szCs w:val="22"/>
                <w:color w:val="auto"/>
              </w:rPr>
            </w:pPr>
          </w:p>
        </w:tc>
      </w:tr>
      <w:tr>
        <w:trPr>
          <w:trHeight w:val="263"/>
        </w:trPr>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64"/>
        </w:trPr>
        <w:tc>
          <w:tcPr>
            <w:tcW w:w="18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6440" w:type="dxa"/>
            <w:vAlign w:val="bottom"/>
            <w:gridSpan w:val="15"/>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4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20" w:type="dxa"/>
            <w:vAlign w:val="bottom"/>
            <w:gridSpan w:val="7"/>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63"/>
        </w:trPr>
        <w:tc>
          <w:tcPr>
            <w:tcW w:w="2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5440" w:type="dxa"/>
            <w:vAlign w:val="bottom"/>
            <w:gridSpan w:val="11"/>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4"/>
        </w:trPr>
        <w:tc>
          <w:tcPr>
            <w:tcW w:w="2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000" w:type="dxa"/>
            <w:vAlign w:val="bottom"/>
            <w:gridSpan w:val="14"/>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3"/>
        </w:trPr>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3"/>
        </w:trPr>
        <w:tc>
          <w:tcPr>
            <w:tcW w:w="1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700" w:type="dxa"/>
            <w:vAlign w:val="bottom"/>
            <w:tcBorders>
              <w:top w:val="single" w:sz="8" w:color="0000EE"/>
            </w:tcBorders>
            <w:gridSpan w:val="2"/>
          </w:tcPr>
          <w:p>
            <w:pPr>
              <w:spacing w:after="0"/>
              <w:rPr>
                <w:sz w:val="22"/>
                <w:szCs w:val="22"/>
                <w:color w:val="auto"/>
              </w:rPr>
            </w:pPr>
          </w:p>
        </w:tc>
        <w:tc>
          <w:tcPr>
            <w:tcW w:w="6460" w:type="dxa"/>
            <w:vAlign w:val="bottom"/>
            <w:gridSpan w:val="16"/>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4"/>
        </w:trPr>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7160" w:type="dxa"/>
            <w:vAlign w:val="bottom"/>
            <w:gridSpan w:val="18"/>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1,048,852</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$104,294 and $95,339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June 30, 2025 and December 31, 2024,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by special purpose entities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1,548,402</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1,538,574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shd w:val="clear" w:color="auto" w:fill="CCEEFF"/>
          </w:tcPr>
          <w:p>
            <w:pPr>
              <w:ind w:left="18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427,251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held by special purpose entity</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180,000,000 shares authorized; 58,345,929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58,326,521 issued at June 30, 2025 and December 31, 2024, respectively; and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57,986,915 and 58,326,521 outstanding at June 30, 2025 and December 31, 2024,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269,283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Treasury stock at cost, 359,014 shares held at June 30, 2025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736,735</w:t>
            </w:r>
          </w:p>
        </w:tc>
        <w:tc>
          <w:tcPr>
            <w:tcW w:w="0" w:type="dxa"/>
            <w:vAlign w:val="bottom"/>
          </w:tcPr>
          <w:p>
            <w:pPr>
              <w:spacing w:after="0"/>
              <w:rPr>
                <w:sz w:val="1"/>
                <w:szCs w:val="1"/>
                <w:color w:val="auto"/>
              </w:rPr>
            </w:pPr>
          </w:p>
        </w:tc>
      </w:tr>
      <w:tr>
        <w:trPr>
          <w:trHeight w:val="21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1,548,402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following presents the portion of the condensed consolidated balances attributable to the Company’s consolidated joint ventures (“JV”), which, as of June 30, 2025 and December 31, 2024, include the Pier Park North JV (“Pier Park North JV”), Pier Park Crossings LLC (“Pier Park Crossings JV”), Origins Crossings, LLC (“Watersound Origins Crossings JV”), SJWCSL, LLC (“Watercrest JV”), Pier Park Crossings Phase II LLC (“Pier Park Crossings Phase II JV”), Mexico Beach Crossings, LLC (“Mexico Beach Crossings JV”), Pier Park Resort Hotel, LLC (“Pier Park Resort Hotel JV”), the 30A Greenway Hotel, LLC (“The Lodge 30A JV”), Panama City Timber Finance Company, LLC and Northwest Florida Timber Finance, LLC. As of December 31, 2024, condensed consolidated balances attributable to the Company’s consolidated JVs also include Watersound Closings &amp; Escrow, LLC (“Watersound Closings JV”). See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Basis of Presentation and Principles of Consolidation </w:t>
      </w:r>
      <w:r>
        <w:rPr>
          <w:rFonts w:ascii="Times New Roman" w:cs="Times New Roman" w:eastAsia="Times New Roman" w:hAnsi="Times New Roman"/>
          <w:sz w:val="18"/>
          <w:szCs w:val="18"/>
          <w:color w:val="auto"/>
        </w:rPr>
        <w:t>and Note 4.</w:t>
      </w:r>
      <w:r>
        <w:rPr>
          <w:rFonts w:ascii="Times New Roman" w:cs="Times New Roman" w:eastAsia="Times New Roman" w:hAnsi="Times New Roman"/>
          <w:sz w:val="18"/>
          <w:szCs w:val="18"/>
          <w:i w:val="1"/>
          <w:iCs w:val="1"/>
          <w:color w:val="auto"/>
        </w:rPr>
        <w:t xml:space="preserve"> Joint Ventures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information. The following assets may only be used to settle obligations of the consolidated JVs and the following liabilities are only obligations of the consolidated JVs and do not have recourse to the general credit of the Company, except for covenants and guarantees discussed in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0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252,095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256,275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Investments held by special purpose entities</w:t>
            </w:r>
          </w:p>
        </w:tc>
        <w:tc>
          <w:tcPr>
            <w:tcW w:w="1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203,137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203,511</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490,319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496,019</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7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269,590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272,102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Senior Notes held by special purpose entity</w:t>
            </w:r>
          </w:p>
        </w:tc>
        <w:tc>
          <w:tcPr>
            <w:tcW w:w="1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178,650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178,484</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456,739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458,266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6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55"/>
        </w:trPr>
        <w:tc>
          <w:tcPr>
            <w:tcW w:w="43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68,721</w:t>
            </w: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101,577</w:t>
            </w:r>
          </w:p>
        </w:tc>
      </w:tr>
      <w:tr>
        <w:trPr>
          <w:trHeight w:val="216"/>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29,094</w:t>
            </w:r>
          </w:p>
        </w:tc>
      </w:tr>
      <w:tr>
        <w:trPr>
          <w:trHeight w:val="209"/>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199,392</w:t>
            </w: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real estate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32,676</w:t>
            </w: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hospitality revenue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68,218</w:t>
            </w: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leasing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other operating expenses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12,948</w:t>
            </w: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22,477</w:t>
            </w:r>
          </w:p>
        </w:tc>
      </w:tr>
      <w:tr>
        <w:trPr>
          <w:trHeight w:val="209"/>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92,122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150,811</w:t>
            </w:r>
          </w:p>
        </w:tc>
      </w:tr>
      <w:tr>
        <w:trPr>
          <w:trHeight w:val="209"/>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48,581</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income,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(7,760)</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(8,519)</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(15,535)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(17,072)</w:t>
            </w: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contributions to unconsolidated joint ventures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income from unconsolidated joint ventures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w:t>
            </w: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0"/>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50,576</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(9,949)</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w:t>
            </w:r>
          </w:p>
        </w:tc>
      </w:tr>
      <w:tr>
        <w:trPr>
          <w:trHeight w:val="210"/>
        </w:trPr>
        <w:tc>
          <w:tcPr>
            <w:tcW w:w="43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37,626</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38,433</w:t>
            </w: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4"/>
        </w:trPr>
        <w:tc>
          <w:tcPr>
            <w:tcW w:w="43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PER SHARE ATTRIBUTABLE TO</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3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5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197"/>
        </w:trPr>
        <w:tc>
          <w:tcPr>
            <w:tcW w:w="4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58,057,268</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58,331,818</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58,150,138</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58,326,153</w:t>
            </w:r>
          </w:p>
        </w:tc>
      </w:tr>
      <w:tr>
        <w:trPr>
          <w:trHeight w:val="197"/>
        </w:trPr>
        <w:tc>
          <w:tcPr>
            <w:tcW w:w="4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58,062,291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58,346,883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58,159,589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58,344,109</w:t>
            </w: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$ 29,774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$ 24,524</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$ 46,442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$ 37,626</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 - unconsolidated joint venture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Reclassification of net realized gain included in earnings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0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before income taxes</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29,486</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45,688</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37,744</w:t>
            </w: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(income) loss attributable to non-controlling interest</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09"/>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the Company</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$ 29,336</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$ 24,402</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$ 46,492</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$ 38,515</w:t>
            </w: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40" w:type="dxa"/>
            <w:vAlign w:val="bottom"/>
            <w:gridSpan w:val="4"/>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4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0" w:type="dxa"/>
            <w:vAlign w:val="bottom"/>
          </w:tcPr>
          <w:p>
            <w:pPr>
              <w:jc w:val="right"/>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58,222,315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268,978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463,488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Capital</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to</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8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Repurchase of</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including excise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(235,400)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tax</w:t>
            </w: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Dividends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($0.14 per</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comprehensive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net of tax</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57,986,915</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269,283</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484,891</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(16,336)</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11,186</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749,950</w:t>
            </w:r>
          </w:p>
        </w:tc>
        <w:tc>
          <w:tcPr>
            <w:tcW w:w="0" w:type="dxa"/>
            <w:vAlign w:val="bottom"/>
          </w:tcPr>
          <w:p>
            <w:pPr>
              <w:spacing w:after="0"/>
              <w:rPr>
                <w:sz w:val="1"/>
                <w:szCs w:val="1"/>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40"/>
          </w:cols>
          <w:pgMar w:left="1220" w:top="513" w:right="1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80" w:type="dxa"/>
            <w:vAlign w:val="bottom"/>
            <w:gridSpan w:val="4"/>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8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2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58,397,506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271,079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417,280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Capital</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Dividends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 per share)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comprehensive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net of tax</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58,397,506</w:t>
            </w:r>
          </w:p>
        </w:tc>
        <w:tc>
          <w:tcPr>
            <w:tcW w:w="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271,403</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434,790</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14,268</w:t>
            </w:r>
          </w:p>
        </w:tc>
        <w:tc>
          <w:tcPr>
            <w:tcW w:w="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722,386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190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1000" w:type="dxa"/>
            <w:vAlign w:val="bottom"/>
          </w:tcPr>
          <w:p>
            <w:pPr>
              <w:jc w:val="right"/>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4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7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6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7"/>
        </w:trPr>
        <w:tc>
          <w:tcPr>
            <w:tcW w:w="16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1000" w:type="dxa"/>
            <w:vAlign w:val="bottom"/>
            <w:tcBorders>
              <w:right w:val="single" w:sz="8" w:color="CCEEFF"/>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58,326,521</w:t>
            </w: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268,668</w:t>
            </w:r>
          </w:p>
        </w:tc>
        <w:tc>
          <w:tcPr>
            <w:tcW w:w="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454,193</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1,419</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12,455</w:t>
            </w:r>
          </w:p>
        </w:tc>
        <w:tc>
          <w:tcPr>
            <w:tcW w:w="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736,735</w:t>
            </w:r>
          </w:p>
        </w:tc>
        <w:tc>
          <w:tcPr>
            <w:tcW w:w="0" w:type="dxa"/>
            <w:vAlign w:val="bottom"/>
          </w:tcPr>
          <w:p>
            <w:pPr>
              <w:spacing w:after="0"/>
              <w:rPr>
                <w:sz w:val="1"/>
                <w:szCs w:val="1"/>
                <w:color w:val="auto"/>
              </w:rPr>
            </w:pPr>
          </w:p>
        </w:tc>
      </w:tr>
      <w:tr>
        <w:trPr>
          <w:trHeight w:val="215"/>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ind w:left="100"/>
              <w:spacing w:after="0" w:line="174" w:lineRule="exact"/>
              <w:rPr>
                <w:sz w:val="20"/>
                <w:szCs w:val="20"/>
                <w:color w:val="auto"/>
              </w:rPr>
            </w:pPr>
            <w:r>
              <w:rPr>
                <w:rFonts w:ascii="Times New Roman" w:cs="Times New Roman" w:eastAsia="Times New Roman" w:hAnsi="Times New Roman"/>
                <w:sz w:val="17"/>
                <w:szCs w:val="17"/>
                <w:color w:val="auto"/>
              </w:rPr>
              <w:t>Capital</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6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distributions to</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non-controlling</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182"/>
        </w:trPr>
        <w:tc>
          <w:tcPr>
            <w:tcW w:w="164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Issuance of</w:t>
            </w:r>
          </w:p>
        </w:tc>
        <w:tc>
          <w:tcPr>
            <w:tcW w:w="10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restricted stock</w:t>
            </w:r>
          </w:p>
        </w:tc>
        <w:tc>
          <w:tcPr>
            <w:tcW w:w="1000" w:type="dxa"/>
            <w:vAlign w:val="bottom"/>
            <w:tcBorders>
              <w:right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19,408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164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Stock based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compensation</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expense</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182"/>
        </w:trPr>
        <w:tc>
          <w:tcPr>
            <w:tcW w:w="164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Repurchase of</w:t>
            </w:r>
          </w:p>
        </w:tc>
        <w:tc>
          <w:tcPr>
            <w:tcW w:w="10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including excise tax</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(359,014)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(16,336)</w:t>
            </w:r>
          </w:p>
        </w:tc>
        <w:tc>
          <w:tcPr>
            <w:tcW w:w="0" w:type="dxa"/>
            <w:vAlign w:val="bottom"/>
          </w:tcPr>
          <w:p>
            <w:pPr>
              <w:spacing w:after="0"/>
              <w:rPr>
                <w:sz w:val="1"/>
                <w:szCs w:val="1"/>
                <w:color w:val="auto"/>
              </w:rPr>
            </w:pPr>
          </w:p>
        </w:tc>
      </w:tr>
      <w:tr>
        <w:trPr>
          <w:trHeight w:val="181"/>
        </w:trPr>
        <w:tc>
          <w:tcPr>
            <w:tcW w:w="164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Dividends ($0.28</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per share)</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(16,287)</w:t>
            </w: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(16,287)</w:t>
            </w:r>
          </w:p>
        </w:tc>
        <w:tc>
          <w:tcPr>
            <w:tcW w:w="0" w:type="dxa"/>
            <w:vAlign w:val="bottom"/>
          </w:tcPr>
          <w:p>
            <w:pPr>
              <w:spacing w:after="0"/>
              <w:rPr>
                <w:sz w:val="1"/>
                <w:szCs w:val="1"/>
                <w:color w:val="auto"/>
              </w:rPr>
            </w:pPr>
          </w:p>
        </w:tc>
      </w:tr>
      <w:tr>
        <w:trPr>
          <w:trHeight w:val="182"/>
        </w:trPr>
        <w:tc>
          <w:tcPr>
            <w:tcW w:w="164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Other</w:t>
            </w:r>
          </w:p>
        </w:tc>
        <w:tc>
          <w:tcPr>
            <w:tcW w:w="10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comprehensive</w:t>
            </w: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loss, net of tax</w:t>
            </w:r>
          </w:p>
        </w:tc>
        <w:tc>
          <w:tcPr>
            <w:tcW w:w="1000" w:type="dxa"/>
            <w:vAlign w:val="bottom"/>
            <w:tcBorders>
              <w:right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(493)</w:t>
            </w:r>
          </w:p>
        </w:tc>
        <w:tc>
          <w:tcPr>
            <w:tcW w:w="14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0" w:type="dxa"/>
            <w:vAlign w:val="bottom"/>
          </w:tcPr>
          <w:p>
            <w:pPr>
              <w:spacing w:after="0"/>
              <w:rPr>
                <w:sz w:val="1"/>
                <w:szCs w:val="1"/>
                <w:color w:val="auto"/>
              </w:rPr>
            </w:pPr>
          </w:p>
        </w:tc>
      </w:tr>
      <w:tr>
        <w:trPr>
          <w:trHeight w:val="203"/>
        </w:trPr>
        <w:tc>
          <w:tcPr>
            <w:tcW w:w="1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 (loss)</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46,442</w:t>
            </w:r>
          </w:p>
        </w:tc>
        <w:tc>
          <w:tcPr>
            <w:tcW w:w="0" w:type="dxa"/>
            <w:vAlign w:val="bottom"/>
          </w:tcPr>
          <w:p>
            <w:pPr>
              <w:spacing w:after="0"/>
              <w:rPr>
                <w:sz w:val="1"/>
                <w:szCs w:val="1"/>
                <w:color w:val="auto"/>
              </w:rPr>
            </w:pPr>
          </w:p>
        </w:tc>
      </w:tr>
      <w:tr>
        <w:trPr>
          <w:trHeight w:val="20"/>
        </w:trPr>
        <w:tc>
          <w:tcPr>
            <w:tcW w:w="1640" w:type="dxa"/>
            <w:vAlign w:val="bottom"/>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640" w:type="dxa"/>
            <w:vAlign w:val="bottom"/>
            <w:vMerge w:val="continue"/>
            <w:shd w:val="clear" w:color="auto" w:fill="CCEEFF"/>
          </w:tcPr>
          <w:p>
            <w:pPr>
              <w:spacing w:after="0"/>
              <w:rPr>
                <w:sz w:val="13"/>
                <w:szCs w:val="13"/>
                <w:color w:val="auto"/>
              </w:rPr>
            </w:pPr>
          </w:p>
        </w:tc>
        <w:tc>
          <w:tcPr>
            <w:tcW w:w="1000" w:type="dxa"/>
            <w:vAlign w:val="bottom"/>
            <w:tcBorders>
              <w:right w:val="single" w:sz="8" w:color="CCEEFF"/>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57,986,915</w:t>
            </w: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269,283</w:t>
            </w:r>
          </w:p>
        </w:tc>
        <w:tc>
          <w:tcPr>
            <w:tcW w:w="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484,891</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926</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(16,336)</w:t>
            </w: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11,186</w:t>
            </w:r>
          </w:p>
        </w:tc>
        <w:tc>
          <w:tcPr>
            <w:tcW w:w="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749,950</w:t>
            </w:r>
          </w:p>
        </w:tc>
        <w:tc>
          <w:tcPr>
            <w:tcW w:w="0" w:type="dxa"/>
            <w:vAlign w:val="bottom"/>
          </w:tcPr>
          <w:p>
            <w:pPr>
              <w:spacing w:after="0"/>
              <w:rPr>
                <w:sz w:val="1"/>
                <w:szCs w:val="1"/>
                <w:color w:val="auto"/>
              </w:rPr>
            </w:pPr>
          </w:p>
        </w:tc>
      </w:tr>
      <w:tr>
        <w:trPr>
          <w:trHeight w:val="215"/>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9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58,372,040</w:t>
            </w:r>
          </w:p>
        </w:tc>
        <w:tc>
          <w:tcPr>
            <w:tcW w:w="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270,848</w:t>
            </w:r>
          </w:p>
        </w:tc>
        <w:tc>
          <w:tcPr>
            <w:tcW w:w="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410,371</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1,843</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15,428</w:t>
            </w:r>
          </w:p>
        </w:tc>
        <w:tc>
          <w:tcPr>
            <w:tcW w:w="1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698,490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Capital</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to</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Issuance of</w:t>
            </w: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restricted stock, net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of forfeitures</w:t>
            </w:r>
          </w:p>
        </w:tc>
        <w:tc>
          <w:tcPr>
            <w:tcW w:w="9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Dividends ($0.24</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per share)</w:t>
            </w:r>
          </w:p>
        </w:tc>
        <w:tc>
          <w:tcPr>
            <w:tcW w:w="9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comprehensive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58,397,506</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271,403</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434,790</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1,925</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14,268</w:t>
            </w:r>
          </w:p>
        </w:tc>
        <w:tc>
          <w:tcPr>
            <w:tcW w:w="1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722,386</w:t>
            </w:r>
          </w:p>
        </w:tc>
        <w:tc>
          <w:tcPr>
            <w:tcW w:w="0" w:type="dxa"/>
            <w:vAlign w:val="bottom"/>
          </w:tcPr>
          <w:p>
            <w:pPr>
              <w:spacing w:after="0"/>
              <w:rPr>
                <w:sz w:val="1"/>
                <w:szCs w:val="1"/>
                <w:color w:val="auto"/>
              </w:rPr>
            </w:pPr>
          </w:p>
        </w:tc>
      </w:tr>
      <w:tr>
        <w:trPr>
          <w:trHeight w:val="22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6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66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55"/>
        </w:trPr>
        <w:tc>
          <w:tcPr>
            <w:tcW w:w="61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46,442</w:t>
            </w:r>
          </w:p>
        </w:tc>
        <w:tc>
          <w:tcPr>
            <w:tcW w:w="200" w:type="dxa"/>
            <w:vAlign w:val="bottom"/>
          </w:tcPr>
          <w:p>
            <w:pPr>
              <w:spacing w:after="0"/>
              <w:rPr>
                <w:sz w:val="17"/>
                <w:szCs w:val="17"/>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37,626</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22,477</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Equity in income from unconsolidated joint ventures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(12,771)</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Distribution of earnings from unconsolidated joint ventures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9,701</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real estate sold</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30,203</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Expenditures for and acquisition of real estate to be sold</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(35,695)</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income and other</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Gain on contributions to unconsolidated joint ventures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 on insurance for damage to property and equipment, net</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2"/>
        </w:trPr>
        <w:tc>
          <w:tcPr>
            <w:tcW w:w="61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assets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r>
      <w:tr>
        <w:trPr>
          <w:trHeight w:val="203"/>
        </w:trPr>
        <w:tc>
          <w:tcPr>
            <w:tcW w:w="6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revenue</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r>
      <w:tr>
        <w:trPr>
          <w:trHeight w:val="203"/>
        </w:trPr>
        <w:tc>
          <w:tcPr>
            <w:tcW w:w="6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7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60,079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50,423</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Expenditures for operating property</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(24,490)</w:t>
            </w: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Expenditures for property and equipment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disposition of assets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insurance claims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contributions to unconsolidated joint ventures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02"/>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distributions from unconsolidated joint ventures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assets held by special purpose entities</w:t>
            </w:r>
          </w:p>
        </w:tc>
        <w:tc>
          <w:tcPr>
            <w:tcW w:w="7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196"/>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(15,904)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(28,531)</w:t>
            </w: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distributions to non-controlling interest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common stock, including excise tax</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(14,014)</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on debt</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for debt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for finance leases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3"/>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7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(43,668)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(21,368)</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524</w:t>
            </w: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the period</w:t>
            </w:r>
          </w:p>
        </w:tc>
        <w:tc>
          <w:tcPr>
            <w:tcW w:w="7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96,316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90,770</w:t>
            </w:r>
          </w:p>
        </w:tc>
      </w:tr>
      <w:tr>
        <w:trPr>
          <w:trHeight w:val="196"/>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720" w:type="dxa"/>
            <w:vAlign w:val="bottom"/>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96,823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91,294</w:t>
            </w:r>
          </w:p>
        </w:tc>
      </w:tr>
      <w:tr>
        <w:trPr>
          <w:trHeight w:val="20"/>
        </w:trPr>
        <w:tc>
          <w:tcPr>
            <w:tcW w:w="6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7" w:lineRule="exact"/>
        <w:rPr>
          <w:sz w:val="20"/>
          <w:szCs w:val="20"/>
          <w:color w:val="auto"/>
        </w:rPr>
      </w:pPr>
    </w:p>
    <w:p>
      <w:pPr>
        <w:jc w:val="both"/>
        <w:ind w:left="60" w:right="7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amounts shown in the condensed consolidated statements of cash flows.</w:t>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86,726</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174"/>
        </w:trPr>
        <w:tc>
          <w:tcPr>
            <w:tcW w:w="6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accompanying</w:t>
            </w:r>
          </w:p>
        </w:tc>
        <w:tc>
          <w:tcPr>
            <w:tcW w:w="48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96,823</w:t>
            </w:r>
          </w:p>
        </w:tc>
        <w:tc>
          <w:tcPr>
            <w:tcW w:w="40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91,294</w:t>
            </w:r>
          </w:p>
        </w:tc>
        <w:tc>
          <w:tcPr>
            <w:tcW w:w="0" w:type="dxa"/>
            <w:vAlign w:val="bottom"/>
          </w:tcPr>
          <w:p>
            <w:pPr>
              <w:spacing w:after="0"/>
              <w:rPr>
                <w:sz w:val="1"/>
                <w:szCs w:val="1"/>
                <w:color w:val="auto"/>
              </w:rPr>
            </w:pPr>
          </w:p>
        </w:tc>
      </w:tr>
      <w:tr>
        <w:trPr>
          <w:trHeight w:val="22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48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Restricted cash includes amounts reserved as a requirement of financing, development for certain of the Company’s projects or long-term mitigation bank management.</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 income taxes, net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income taxes, net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Increase in Community Development District debt, net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Transfers of expenditures for operating property to property and equipment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Increase in expenditures for operating properties and property and equipment financed</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through accounts payable</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 gain on cash flow hedges</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St. Joe Company together with its consolidated subsidiaries (“St. Joe” or the “Company”) is a diversified Florida real estate development, asset management and operating company with all of its real estate assets and operations in Northwest Florida. Approximately 87% of the Company’s real estate is located in Florida’s Bay, Gulf, and Walton counties. Approximately 90% of the Company’s real estate land holdings are located within fifteen miles of the Gulf of America, formerly named the Gulf of Mexico (the “Gulf”).</w:t>
      </w:r>
    </w:p>
    <w:p>
      <w:pPr>
        <w:spacing w:after="0" w:line="183"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conducts primarily all of its business in the following three reportable segments: 1) residential, 2) hospitality and 3) commercial. See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additional information</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(the “SEC”) for reporting on Form 10-Q. Accordingly, certain information and footnotes required by United States generally accepted accounting principles (“GAAP”) for complete financial statements are not included herein. The unaudited interim condensed consolidated financial statements include the accounts of the Company and all of its majority-owned and controlled subsidiaries, voting interest entities where the Company has a majority voting interest or control and variable interest entities where the Company deems itself the primary beneficiary. Investments in JVs in which the Company is not the primary beneficiary, or a voting interest entity where the Company does not have a majority voting interest or control, but has significant influence are unconsolidated and accounted for by the equity method of accounting. All significant intercompany transactions and balances have been eliminated in consolidation. The December 31, 2024 condensed consolidated balance sheet amounts have been derived from the Company’s December 31, 2024 audited consolidated financial statements. Certain prior period amounts in the accompanying condensed consolidated financial statements have been reclassified to conform to the current year presentation. The reclassifications had no effect on the Company’s previously reported total assets and liabilities, equity or net income. Operating results for the six months ended June 30, 2025 are not necessarily indicative of the results that may be expected for the full year ending December 31, 2025.</w:t>
      </w:r>
    </w:p>
    <w:p>
      <w:pPr>
        <w:spacing w:after="0" w:line="19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 variable interest entity (“VIE”) is an entity in which a controlling financial interest may be achieved through arrangements that do not involve voting interests. A VIE is required to be consolidated by its primary beneficiary, which is the entity that possesses the power to direct the activities of the VIE that most significantly impact the VIE’s economic performance and has the obligation to absorb losses or the right to receive benefits from the VIE that are significant to the VIE. The Company consolidates VIEs when it is the primary beneficiary of the VIE. The Company continues to evaluate whether it is the primary beneficiary as needed when assessing reconsideration events.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reflect all normal recurring adjustments that, in the opinion of management, are necessary for fair presentation of the information contained herein. The unaudited interim condensed consolidated financial statements should be read in conjunction with the consolidated financial statements and notes included in the Company’s Annual Report on Form 10-K for the year ended December 31, 2024. The Company adheres to the same accounting policies in preparation of its unaudited interim condensed consolidated financial statements as the Company’s December 31, 2024 annual financial statements, except for any recently adopted accounting pronouncements. As required under GAAP, interim accounting for certain expenses, including income taxes, are based on full year assumptions. For interim financial reporting purposes, income taxes are recorded based upon estimated annual income tax 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 and Uncertainties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real estate assets are concentrated in Northwest Florida. Uncertain economic conditions could have an adverse impact on the Company’s operations and asset values.</w:t>
      </w:r>
    </w:p>
    <w:p>
      <w:pPr>
        <w:spacing w:after="0" w:line="162"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Throughout the first six months of 2025, the Company continued to generate positive financial results. While macroeconomic factors such as uncertainty over tariffs, inflation, elevated interest rates and higher insurance costs for consumers and overall consumer confidence, among other things, continued to produce economic headwinds and impacted buyer sentiment, demand across the Company’s segments remains strong. The Company believes this is primarily due to the continued growth of Northwest Florida as a result of increased migration, which the Company attributes to the region’s high quality of life, natural beauty and outstanding amenities.</w:t>
      </w:r>
    </w:p>
    <w:p>
      <w:pPr>
        <w:spacing w:after="0" w:line="18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Despite the strong demand across the Company’s segments, the Company also continues to feel the impact from the aforementioned macroeconomic factors. While elevated interest rates and higher insurance costs have negatively impacted buyers’ ability to obtain financing and the housing market generally, the impact has been offset by the net migration into the Company’s markets, limited housing supply relative to demand and the number of cash buyers. Market conditions have not caused an increase in cancellation rates as homebuilders have continued to perform on their contractual obligations with the Company.</w:t>
      </w:r>
    </w:p>
    <w:p>
      <w:pPr>
        <w:spacing w:after="0" w:line="18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Company’s operations may be affected by seasonal fluctuations. The revenues and earnings from the Company’s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the Company has no, or significantly less, revenue from residential or commercial real estate sales. The Company may also choose to operate rather than lease assets, lease rather than sell assets, or sell improved rather than unimproved assets that may delay revenue and profits.</w:t>
      </w:r>
    </w:p>
    <w:p>
      <w:pPr>
        <w:spacing w:after="0" w:line="187"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Hospitality revenues are typically higher in the second and third quarters, and vary depending on the timing of holidays and school breaks. Commercial real estate sales tend to be non-recurring. Projects depend on uncertain demand. Extraordinary events such as hurricanes or public health emergencies may dramatically change demand and pricing for products and services.</w:t>
      </w:r>
    </w:p>
    <w:p>
      <w:pPr>
        <w:spacing w:after="0" w:line="180"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cash equivalents, other receivables and investments held by special purpose entity or entities (“SPE”). The Company deposits and invests cash with local, regional and national financial institutions, and as of June 30, 2025, these balances exceeded the amount of F.D.I.C. insurance provided on such deposits. In addition, as of June 30, 2025, the Company had $59.0 million invested in short-term U.S. Treasury Bills and $3.7 million invested in U.S. Treasury Money Market Funds classified as cash and cash equivalents.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Basic earnings per share is calculated by dividing net income attributable to the Company by the basic weighted average number of common shares outstanding for the period. Diluted earnings per share is calculated by dividing net income attributable to the Company by the weighted average number of shares of common stock outstanding for the period, including potential dilutive common shares. The treasury stock method is used to determine the effect on diluted earnings. For the six months ended June 30, 2025 and 2024, the Company had 60,217 and 65,688, respectively, unvested shares of restricted stock. For the three months ended June 30, 2025 and 2024, 55,194 and 50,623, respectively, potentially dilutive restricted stock units were excluded from the calculation of diluted income per share and for the six months ended June 30, 2025 and 2024, 50,766 and 47,732, respectively, potentially dilutive restricted stock units were excluded from the calculation of diluted income per share, since the effect would have been anti-dilutive based on the application of the treasury stock method. See Note 13.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additional information related to the issuance of common stock for employee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are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214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3"/>
        </w:trPr>
        <w:tc>
          <w:tcPr>
            <w:tcW w:w="4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gridSpan w:val="9"/>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920" w:type="dxa"/>
            <w:vAlign w:val="bottom"/>
          </w:tcPr>
          <w:p>
            <w:pPr>
              <w:spacing w:after="0"/>
              <w:rPr>
                <w:sz w:val="17"/>
                <w:szCs w:val="17"/>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6"/>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38,433</w:t>
            </w:r>
          </w:p>
        </w:tc>
      </w:tr>
      <w:tr>
        <w:trPr>
          <w:trHeight w:val="197"/>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58,057,268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58,331,818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58,150,138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58,326,153</w:t>
            </w:r>
          </w:p>
        </w:tc>
      </w:tr>
      <w:tr>
        <w:trPr>
          <w:trHeight w:val="216"/>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Incremental shares from restricted stock</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17,956</w:t>
            </w:r>
          </w:p>
        </w:tc>
      </w:tr>
      <w:tr>
        <w:trPr>
          <w:trHeight w:val="21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58,062,291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58,346,883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58,159,589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58,344,109</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the Company</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6"/>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income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196"/>
        </w:trPr>
        <w:tc>
          <w:tcPr>
            <w:tcW w:w="412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income per share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recently adopted accounting pronouncements which would have a material effect on the Company’s financial condition, results of operations and cash flows other than those disclosed in the Company’s Annual Report on Form 10-K for the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225" w:lineRule="exact"/>
        <w:rPr>
          <w:sz w:val="20"/>
          <w:szCs w:val="20"/>
          <w:color w:val="auto"/>
        </w:rPr>
      </w:pPr>
    </w:p>
    <w:p>
      <w:pPr>
        <w:ind w:left="60" w:right="199" w:firstLine="324"/>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Disaggregation Disclosures (Subtopic 220-40): Disaggregation of Income Statement Expenses </w:t>
      </w:r>
      <w:r>
        <w:rPr>
          <w:rFonts w:ascii="Times New Roman" w:cs="Times New Roman" w:eastAsia="Times New Roman" w:hAnsi="Times New Roman"/>
          <w:sz w:val="17"/>
          <w:szCs w:val="17"/>
          <w:color w:val="auto"/>
        </w:rPr>
        <w:t>(“ASU 2024-03”)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 xml:space="preserve">requires additional disclosure in the notes to the financial statements information about specific costs and expense categories, including purchases of inventory, </w:t>
      </w:r>
      <w:r>
        <w:rPr>
          <w:rFonts w:ascii="Times New Roman" w:cs="Times New Roman" w:eastAsia="Times New Roman" w:hAnsi="Times New Roman"/>
          <w:sz w:val="17"/>
          <w:szCs w:val="17"/>
          <w:color w:val="000000"/>
        </w:rPr>
        <w:t>employee</w:t>
      </w:r>
      <w:r>
        <w:rPr>
          <w:rFonts w:ascii="Times New Roman" w:cs="Times New Roman" w:eastAsia="Times New Roman" w:hAnsi="Times New Roman"/>
          <w:sz w:val="17"/>
          <w:szCs w:val="17"/>
          <w:color w:val="252525"/>
        </w:rPr>
        <w:t xml:space="preserve"> compensation, depreciation, intangible asset amortization and selling expenses, as well as qualitative descriptions for certain other expenses. </w:t>
      </w:r>
      <w:r>
        <w:rPr>
          <w:rFonts w:ascii="Times New Roman" w:cs="Times New Roman" w:eastAsia="Times New Roman" w:hAnsi="Times New Roman"/>
          <w:sz w:val="17"/>
          <w:szCs w:val="17"/>
          <w:color w:val="000000"/>
        </w:rPr>
        <w:t>This guidance will be effective for annual</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reporting periods beginning after December 15, 2026, and for interim reporting periods beginning after December 15, 2027, with early adoption permitted. The guidance should be applied either prospectively for periods after the effective date or retrospectively to all prior periods presented. The Company is currently evaluating the impact that the adoption of this guidance will have on its financial condition, results of operations, cash flows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Investment in Real Estate, Net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Investment in real estate, net, excluding unconsolidated JVs, by property type and segment includes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Development property:</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development property</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266,689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245,528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property:</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2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482,698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property</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156,105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property, net</w:t>
            </w:r>
          </w:p>
        </w:tc>
        <w:tc>
          <w:tcPr>
            <w:tcW w:w="2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782,163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 real estate, net</w:t>
            </w:r>
          </w:p>
        </w:tc>
        <w:tc>
          <w:tcPr>
            <w:tcW w:w="2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1,048,852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Investment in real estate, net is carried at cost, net of depreciation and timber depletion, unless circumstances indicate that the carrying value of the assets may not be recoverable.</w:t>
      </w:r>
    </w:p>
    <w:p>
      <w:pPr>
        <w:spacing w:after="0" w:line="162" w:lineRule="exact"/>
        <w:rPr>
          <w:sz w:val="20"/>
          <w:szCs w:val="20"/>
          <w:color w:val="auto"/>
        </w:rPr>
      </w:pPr>
    </w:p>
    <w:p>
      <w:pPr>
        <w:jc w:val="both"/>
        <w:ind w:left="60" w:right="539" w:firstLine="324"/>
        <w:spacing w:after="0" w:line="272" w:lineRule="auto"/>
        <w:rPr>
          <w:sz w:val="20"/>
          <w:szCs w:val="20"/>
          <w:color w:val="auto"/>
        </w:rPr>
      </w:pPr>
      <w:r>
        <w:rPr>
          <w:rFonts w:ascii="Times New Roman" w:cs="Times New Roman" w:eastAsia="Times New Roman" w:hAnsi="Times New Roman"/>
          <w:sz w:val="17"/>
          <w:szCs w:val="17"/>
          <w:color w:val="auto"/>
        </w:rPr>
        <w:t>Development property consists of land the Company is developing or intends to develop for sale, lease or future operations and includes direct costs associated with the land, as well as development, construction and indirect costs. Residential development property includes existing and planned residential homesites and related infrastructure.</w:t>
      </w:r>
    </w:p>
    <w:p>
      <w:pPr>
        <w:spacing w:after="0" w:line="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Hospitality development property consists of land, as well as development costs related to improvements to existing properties and design costs for other hospitality assets. Commercial development property primarily consists of land and construction and development costs for planned commercial, multi-family and industrial uses. Development property in the hospitality and commercial segments will be reclassified as operating property as it is placed into service.</w:t>
      </w:r>
    </w:p>
    <w:p>
      <w:pPr>
        <w:spacing w:after="0" w:line="189" w:lineRule="exact"/>
        <w:rPr>
          <w:sz w:val="20"/>
          <w:szCs w:val="20"/>
          <w:color w:val="auto"/>
        </w:rPr>
      </w:pPr>
    </w:p>
    <w:p>
      <w:pPr>
        <w:ind w:left="60" w:right="319" w:firstLine="324"/>
        <w:spacing w:after="0" w:line="255" w:lineRule="auto"/>
        <w:rPr>
          <w:sz w:val="20"/>
          <w:szCs w:val="20"/>
          <w:color w:val="auto"/>
        </w:rPr>
      </w:pPr>
      <w:r>
        <w:rPr>
          <w:rFonts w:ascii="Times New Roman" w:cs="Times New Roman" w:eastAsia="Times New Roman" w:hAnsi="Times New Roman"/>
          <w:sz w:val="18"/>
          <w:szCs w:val="18"/>
          <w:color w:val="auto"/>
        </w:rPr>
        <w:t>Operating property includes property that the Company uses for operations and activities. Residential operating property consists primarily of residential utility assets and certain rental properties. Hospitality operating property primarily consists of existing hotels, resorts, clubs, vacation rental homes, marinas and other operations. Commercial operating property includes property used for retail, office, self-storage, light industrial, multi-family, senior living, commercial rental and timber purposes. Operating property may be sold in the future as part of the Company’s principal real estate business. As of June 30, 2025 and December 31, 2024, operating property, net related to operating leases was $385.9 million and $395.2 million,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Joint Ventures</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enters into JVs, from time to time, for the purpose of developing real estate and other business activities in which the Company may or may not have a controlling financial interest. GAAP requires consolidation of voting interest entities where the Company has a majority voting interest or control and VIEs in which an enterprise has a controlling financial interest and is the primary beneficiary. A controlling financial interest will have both of the following characteristics: (i) the power to direct the VIE activities that most significantly impact economic performance and (ii) the obligation to absorb losses or the right to receive benefits from the VIE that could potentially be significant to the VIE. The Company examines specific criteria and uses judgment when determining whether the Company is the primary beneficiary and must consolidate a VIE. The Company continues to evaluate whether it is the primary beneficiary as needed when assessing reconsideration events. Investments in JVs in which the Company is not the primary beneficiary, or a voting interest entity where the Company does not have a majority voting interest or control, but has significant influence are unconsolidated and accounted for by the equity method of accounting.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timing of cash flows for additional required capital contributions related to the Company’s JVs varies by agreement. Some of the Company’s consolidated and unconsolidated JVs have entered into financing agreements where the Company or its JV partners have provided guarantees.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information. The Company provides mitigation bank credits, impact and other fees,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lease and services to certain unconsolidated JVs and incurs expense for leasing management services from the Company’s unconsolidated Watersound Management, LLC (“Watersound Management JV”), see Note 18.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for additional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Joint Ventures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Mexico Beach Crossings JV</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Mexico Beach Crossings JV was formed in 2022, when the Company entered into a JV agreement to develop, manage and lease a 216-unit multi-family community in Mexico Beach, Florida. As of June 30, 2025 and December 31,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Mexico Beach Crossings JV is a voting interest entity as of June 30, 2025 and December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Lodge 30A JV</w:t>
      </w:r>
    </w:p>
    <w:p>
      <w:pPr>
        <w:spacing w:after="0" w:line="22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Lodge 30A JV was formed in 2020, when the Company entered into a JV agreement to develop and operate an 85-room boutique hotel on Scenic County Highway 30A in Seagrove Beach, Florida. As of June 30, 2025 and December 31, 2024, the Company owned a 52.8% interest in the consolidated JV. A wholly-owned subsidiary of the Company manages the day-to-day operations of the hotel. The Company approves all major decisions, including project development, annual budgets and financing. The Company determined The Lodge 30A JV is a VIE and that the Company is the VIE’s primary beneficiary as of June 30, 2025 and December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Resort Hotel JV</w:t>
      </w:r>
    </w:p>
    <w:p>
      <w:pPr>
        <w:spacing w:after="0" w:line="22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Pier Park Resort Hotel JV was formed in 2020, when the Company entered into a JV agreement to develop and operate a 255-room Embassy Suites by Hilton hotel in the Pier Park area of Panama City Beach, Florida. As of June 30, 2025 and December 31, 2024, the Company owned a 70.0% interest in the consolidated JV. A wholly-owned subsidiary of the Company manages the day-to-day operations of the hotel. The Company has significant involvement in the project design and development, annual budgets and financing. The Company determined Pier Park Resort Hotel JV is a VIE and that the Company is the VIE’s primary beneficiary as of June 30, 2025 and December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Crossings Phase II JV</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Pier Park Crossings Phase II JV was formed in 2019, when the Company entered into a JV agreement to develop, manage and lease a 120-unit multi-family community in the Pier Park area of Panama City Beach, Florida. As of June 30, 2025 and December 31,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Phase II JV is a VIE and that the Company is the VIE’s primary beneficiary as of June 30, 2025 and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Closings JV</w:t>
      </w:r>
    </w:p>
    <w:p>
      <w:pPr>
        <w:spacing w:after="0" w:line="227"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Watersound Closings JV was formed in 2019, when the Company entered into a JV agreement to own, operate and manage a real estate title insurance agency business. In the first quarter of 2025, the Watersound Closings JV ceased operations of its business, distributed final partner equity and transitioned future business to Watersound Title Agency, LLC, a wholly-owned subsidiary of the Company.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Watercrest JV</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Watercrest JV was formed in 2019, when the Company entered into a JV agreement to develop and operate a 107-unit senior living community in Santa Rosa Beach, Florida. As of June 30, 2025 and December 31, 2024, the Company owned an 87.0% interest in the consolidated JV. A wholly-owned subsidiary of the Company’s JV partner is responsible for the day-to-day activities of the community. However, the Company approves all major decisions, including project development, annual budgets and financing. The Company determined Watercrest JV is a VIE and that the Company is the VIE’s primary beneficiary as of June 30, 2025 and December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Origins Crossings JV</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Watersound Origins Crossings JV was formed in 2019, when the Company entered into a JV agreement to develop, manage and lease a 217-unit multi-family community near the entrance to the Watersound Origins residential community. As of June 30, 2025 and December 31,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Watersound Origins Crossings JV is a VIE and that the Company is the VIE’s primary beneficiary as of June 30, 2025 and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Crossings JV</w:t>
      </w:r>
    </w:p>
    <w:p>
      <w:pPr>
        <w:spacing w:after="0" w:line="227" w:lineRule="exact"/>
        <w:rPr>
          <w:sz w:val="20"/>
          <w:szCs w:val="20"/>
          <w:color w:val="auto"/>
        </w:rPr>
      </w:pPr>
    </w:p>
    <w:p>
      <w:pPr>
        <w:ind w:left="60" w:right="139" w:firstLine="324"/>
        <w:spacing w:after="0" w:line="274" w:lineRule="auto"/>
        <w:rPr>
          <w:sz w:val="20"/>
          <w:szCs w:val="20"/>
          <w:color w:val="auto"/>
        </w:rPr>
      </w:pPr>
      <w:r>
        <w:rPr>
          <w:rFonts w:ascii="Times New Roman" w:cs="Times New Roman" w:eastAsia="Times New Roman" w:hAnsi="Times New Roman"/>
          <w:sz w:val="17"/>
          <w:szCs w:val="17"/>
          <w:color w:val="auto"/>
        </w:rPr>
        <w:t>Pier Park Crossings JV was formed in 2017, when the Company entered into a JV agreement to develop, manage and lease a 240-unit multi-family community in the Pier Park area of Panama City Beach, Florida. As of June 30, 2025 and December 31,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JV is a VIE and that the Company is the VIE’s primary beneficiary as of June 30, 2025 and December 31, 2024.</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North JV</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During 2012, the Company entered into a JV agreement with a partner to develop a retail center at Pier Park North. As of June 30, 2025 and December 31, 2024, the Company owned a 90.0% interest in the consolidated JV. A wholly-owned subsidiary of the Company’s JV partner is responsible for the day-to-day activities of the retail center. The Company approves all major decisions, including project development, annual budgets and financing. The Company determined Pier Park North JV is a VIE and that the Company is the VIE’s primary beneficiary as of June 30, 2025 and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Joint Ventures</w:t>
      </w:r>
    </w:p>
    <w:p>
      <w:pPr>
        <w:spacing w:after="0" w:line="229" w:lineRule="exact"/>
        <w:rPr>
          <w:sz w:val="20"/>
          <w:szCs w:val="20"/>
          <w:color w:val="auto"/>
        </w:rPr>
      </w:pPr>
    </w:p>
    <w:p>
      <w:pPr>
        <w:jc w:val="both"/>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Investment in unconsolidated joint ventures includes the Company’s investment accounted for using the equity method. The following table presents details of the Company’s investment in unconsolidated joint ventures and total outstanding debt of unconsolidated JVs: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unconsolidated joint ventures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Latitude Margaritaville Watersound JV</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62,068</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r>
      <w:tr>
        <w:trPr>
          <w:trHeight w:val="216"/>
        </w:trPr>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Watersound Fountains Independent Living JV</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16"/>
        </w:trPr>
        <w:tc>
          <w:tcPr>
            <w:tcW w:w="6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Pier Park TPS JV </w:t>
            </w:r>
            <w:r>
              <w:rPr>
                <w:rFonts w:ascii="Times New Roman" w:cs="Times New Roman" w:eastAsia="Times New Roman" w:hAnsi="Times New Roman"/>
                <w:sz w:val="25"/>
                <w:szCs w:val="25"/>
                <w:color w:val="auto"/>
                <w:vertAlign w:val="superscript"/>
              </w:rPr>
              <w:t>(a)</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Pier Park RI JV</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r>
      <w:tr>
        <w:trPr>
          <w:trHeight w:val="216"/>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Busy Bee JV</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16"/>
        </w:trPr>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 Cart Watersound JV</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6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Watersound Management JV</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10"/>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 in unconsolidated joint ventures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73,854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66,454</w:t>
            </w:r>
          </w:p>
        </w:tc>
      </w:tr>
      <w:tr>
        <w:trPr>
          <w:trHeight w:val="20"/>
        </w:trPr>
        <w:tc>
          <w:tcPr>
            <w:tcW w:w="22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debt principal of unconsolidated JVs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(b)</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41,246</w:t>
            </w:r>
          </w:p>
        </w:tc>
      </w:tr>
      <w:tr>
        <w:trPr>
          <w:trHeight w:val="216"/>
        </w:trPr>
        <w:tc>
          <w:tcPr>
            <w:tcW w:w="692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Watersound Fountains Independent Living JV </w:t>
            </w:r>
            <w:r>
              <w:rPr>
                <w:rFonts w:ascii="Times New Roman" w:cs="Times New Roman" w:eastAsia="Times New Roman" w:hAnsi="Times New Roman"/>
                <w:sz w:val="25"/>
                <w:szCs w:val="25"/>
                <w:color w:val="auto"/>
                <w:vertAlign w:val="superscript"/>
              </w:rPr>
              <w:t>(b)</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41,683</w:t>
            </w:r>
          </w:p>
        </w:tc>
      </w:tr>
      <w:tr>
        <w:trPr>
          <w:trHeight w:val="216"/>
        </w:trPr>
        <w:tc>
          <w:tcPr>
            <w:tcW w:w="69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Pier Park TPS JV </w:t>
            </w:r>
            <w:r>
              <w:rPr>
                <w:rFonts w:ascii="Times New Roman" w:cs="Times New Roman" w:eastAsia="Times New Roman" w:hAnsi="Times New Roman"/>
                <w:sz w:val="25"/>
                <w:szCs w:val="25"/>
                <w:color w:val="auto"/>
                <w:vertAlign w:val="superscript"/>
              </w:rPr>
              <w:t>(b)</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r>
      <w:tr>
        <w:trPr>
          <w:trHeight w:val="216"/>
        </w:trPr>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Pier Park RI JV</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24,948</w:t>
            </w:r>
          </w:p>
        </w:tc>
      </w:tr>
      <w:tr>
        <w:trPr>
          <w:trHeight w:val="216"/>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Busy Bee JV</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16"/>
        </w:trPr>
        <w:tc>
          <w:tcPr>
            <w:tcW w:w="692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Electric Cart Watersound JV </w:t>
            </w:r>
            <w:r>
              <w:rPr>
                <w:rFonts w:ascii="Times New Roman" w:cs="Times New Roman" w:eastAsia="Times New Roman" w:hAnsi="Times New Roman"/>
                <w:sz w:val="25"/>
                <w:szCs w:val="25"/>
                <w:color w:val="auto"/>
                <w:vertAlign w:val="superscript"/>
              </w:rPr>
              <w:t>(b)</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r>
      <w:tr>
        <w:trPr>
          <w:trHeight w:val="210"/>
        </w:trPr>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outstanding debt principal of unconsolidated JVs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89,644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131,241</w:t>
            </w:r>
          </w:p>
        </w:tc>
      </w:tr>
      <w:tr>
        <w:trPr>
          <w:trHeight w:val="20"/>
        </w:trPr>
        <w:tc>
          <w:tcPr>
            <w:tcW w:w="22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1" w:lineRule="exact"/>
        <w:rPr>
          <w:sz w:val="20"/>
          <w:szCs w:val="20"/>
          <w:color w:val="auto"/>
        </w:rPr>
      </w:pPr>
    </w:p>
    <w:p>
      <w:pPr>
        <w:ind w:left="380" w:right="159" w:hanging="330"/>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and December 31, 2024, the Company’s investment in the unconsolidated joint venture was below zero due to cash distributions and depreciation and amortization expense. As of June 30, 2025 and December 31, 2024, the Company’s investment in the unconsolidated joint venture is included within accounts payable and other liabilities on the condensed consolidated balance sheets.</w:t>
      </w:r>
    </w:p>
    <w:p>
      <w:pPr>
        <w:spacing w:after="0" w:line="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17.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for additional information related to outstanding debt.</w:t>
      </w:r>
    </w:p>
    <w:p>
      <w:pPr>
        <w:spacing w:after="0" w:line="222" w:lineRule="exact"/>
        <w:rPr>
          <w:sz w:val="20"/>
          <w:szCs w:val="20"/>
          <w:color w:val="auto"/>
        </w:rPr>
      </w:pPr>
    </w:p>
    <w:p>
      <w:pPr>
        <w:ind w:left="60" w:right="399" w:firstLine="324"/>
        <w:spacing w:after="0" w:line="270" w:lineRule="auto"/>
        <w:rPr>
          <w:sz w:val="20"/>
          <w:szCs w:val="20"/>
          <w:color w:val="auto"/>
        </w:rPr>
      </w:pPr>
      <w:r>
        <w:rPr>
          <w:rFonts w:ascii="Times New Roman" w:cs="Times New Roman" w:eastAsia="Times New Roman" w:hAnsi="Times New Roman"/>
          <w:sz w:val="17"/>
          <w:szCs w:val="17"/>
          <w:color w:val="auto"/>
        </w:rPr>
        <w:t>The Company had approximately $28.8 million in cumulative undistributed earnings from its unconsolidated JVs included within investment in unconsolidated joint ventures as of June 30, 2025. During the six months ended June 30, 2025 and 2024, the Company received distributions from unconsolidated JVs totaling $13.5 million and $9.9 million, respectively. The Company's maximum exposure to loss due to involvement with the unconsolidated JVs as of</w:t>
      </w:r>
    </w:p>
    <w:p>
      <w:pPr>
        <w:spacing w:after="0" w:line="3"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 xml:space="preserve">June 30, 2025 was $133.2 million, which includes the carrying amounts of the investments, guarantees, other receivables and derivative instruments.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related to debt guaranteed by the Company with respect to its involvement with unconsolidated JVs.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details of the Company’s equity in income (loss) from unconsolidated JVs: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50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r>
      <w:tr>
        <w:trPr>
          <w:trHeight w:val="209"/>
        </w:trPr>
        <w:tc>
          <w:tcPr>
            <w:tcW w:w="224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 from unconsolidated joint ventures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w:t>
            </w:r>
          </w:p>
        </w:tc>
      </w:tr>
      <w:tr>
        <w:trPr>
          <w:trHeight w:val="216"/>
        </w:trPr>
        <w:tc>
          <w:tcPr>
            <w:tcW w:w="56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Watersound Fountains Independent Living JV </w:t>
            </w:r>
            <w:r>
              <w:rPr>
                <w:rFonts w:ascii="Times New Roman" w:cs="Times New Roman" w:eastAsia="Times New Roman" w:hAnsi="Times New Roman"/>
                <w:sz w:val="25"/>
                <w:szCs w:val="25"/>
                <w:color w:val="auto"/>
                <w:vertAlign w:val="superscript"/>
              </w:rPr>
              <w:t>(b)</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(1,144)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(1,978)</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Pier Park TPS JV</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6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Pier Park RI JV </w:t>
            </w:r>
            <w:r>
              <w:rPr>
                <w:rFonts w:ascii="Times New Roman" w:cs="Times New Roman" w:eastAsia="Times New Roman" w:hAnsi="Times New Roman"/>
                <w:sz w:val="25"/>
                <w:szCs w:val="25"/>
                <w:color w:val="auto"/>
                <w:vertAlign w:val="superscript"/>
              </w:rPr>
              <w:t>(c)</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6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Busy Bee JV </w:t>
            </w:r>
            <w:r>
              <w:rPr>
                <w:rFonts w:ascii="Times New Roman" w:cs="Times New Roman" w:eastAsia="Times New Roman" w:hAnsi="Times New Roman"/>
                <w:sz w:val="25"/>
                <w:szCs w:val="25"/>
                <w:color w:val="auto"/>
                <w:vertAlign w:val="superscript"/>
              </w:rPr>
              <w:t>(d)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6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Electric Cart Watersound JV </w:t>
            </w:r>
            <w:r>
              <w:rPr>
                <w:rFonts w:ascii="Times New Roman" w:cs="Times New Roman" w:eastAsia="Times New Roman" w:hAnsi="Times New Roman"/>
                <w:sz w:val="25"/>
                <w:szCs w:val="25"/>
                <w:color w:val="auto"/>
                <w:vertAlign w:val="superscript"/>
              </w:rPr>
              <w: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Watersound Management JV</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in income from unconsolidated joint ventures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12,771</w:t>
            </w:r>
          </w:p>
        </w:tc>
      </w:tr>
      <w:tr>
        <w:trPr>
          <w:trHeight w:val="20"/>
        </w:trPr>
        <w:tc>
          <w:tcPr>
            <w:tcW w:w="2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81" w:lineRule="exact"/>
        <w:rPr>
          <w:sz w:val="20"/>
          <w:szCs w:val="20"/>
          <w:color w:val="auto"/>
        </w:rPr>
      </w:pPr>
    </w:p>
    <w:p>
      <w:pPr>
        <w:ind w:left="380" w:right="239" w:hanging="330"/>
        <w:spacing w:after="0" w:line="267"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June 30, 2025 and 2024, the Latitude Margaritaville Watersound JV completed 137 and 163 home sale transactions, respectively. During the six months ended June 30, 2025 and 2024, the Latitude Margaritaville Watersound JV completed 329 and 340 home sale transactions, respectively.</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and is currently under lease-up.</w:t>
      </w:r>
    </w:p>
    <w:p>
      <w:pPr>
        <w:spacing w:after="0" w:line="18" w:lineRule="exact"/>
        <w:rPr>
          <w:rFonts w:ascii="Times New Roman" w:cs="Times New Roman" w:eastAsia="Times New Roman" w:hAnsi="Times New Roman"/>
          <w:sz w:val="16"/>
          <w:szCs w:val="16"/>
          <w:color w:val="auto"/>
        </w:rPr>
      </w:pPr>
    </w:p>
    <w:p>
      <w:pPr>
        <w:ind w:left="380" w:right="679" w:hanging="330"/>
        <w:spacing w:after="0" w:line="264"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 The six months ended June 30, 2025, primarily includes start-up, depreciation and interest expenses for the project.</w:t>
      </w:r>
    </w:p>
    <w:p>
      <w:pPr>
        <w:ind w:left="380" w:hanging="330"/>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sales showroom located in the Watersound Town Center opened in June 2024.</w:t>
      </w:r>
    </w:p>
    <w:p>
      <w:pPr>
        <w:spacing w:after="0" w:line="208"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Summarized balance sheets for the Company’s unconsolidated JVs are as follows: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Independent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Pier Park</w:t>
            </w: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Pier Park RI</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Electric Cart</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Living JV</w:t>
            </w: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TPS JV</w:t>
            </w:r>
          </w:p>
        </w:tc>
        <w:tc>
          <w:tcPr>
            <w:tcW w:w="20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JV</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Busy Bee JV</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Management JV</w:t>
            </w:r>
          </w:p>
        </w:tc>
        <w:tc>
          <w:tcPr>
            <w:tcW w:w="160" w:type="dxa"/>
            <w:vAlign w:val="bottom"/>
          </w:tcPr>
          <w:p>
            <w:pPr>
              <w:spacing w:after="0"/>
              <w:rPr>
                <w:sz w:val="14"/>
                <w:szCs w:val="14"/>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15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real</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estate,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spacing w:after="0" w:line="217" w:lineRule="exact"/>
              <w:rPr>
                <w:sz w:val="20"/>
                <w:szCs w:val="20"/>
                <w:color w:val="auto"/>
              </w:rPr>
            </w:pPr>
            <w:r>
              <w:rPr>
                <w:rFonts w:ascii="Times New Roman" w:cs="Times New Roman" w:eastAsia="Times New Roman" w:hAnsi="Times New Roman"/>
                <w:sz w:val="16"/>
                <w:szCs w:val="16"/>
                <w:color w:val="auto"/>
              </w:rPr>
              <w:t xml:space="preserve">102,429 </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11,676</w:t>
            </w:r>
          </w:p>
        </w:tc>
        <w:tc>
          <w:tcPr>
            <w:tcW w:w="8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32,109</w:t>
            </w:r>
          </w:p>
        </w:tc>
        <w:tc>
          <w:tcPr>
            <w:tcW w:w="8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208,492</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42,826</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143,193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50,482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10,937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6,525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257,006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12,921</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24,712</w:t>
            </w:r>
          </w:p>
        </w:tc>
        <w:tc>
          <w:tcPr>
            <w:tcW w:w="8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89,111</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38,559</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(deficit)</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107,587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(650)</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129,336</w:t>
            </w:r>
          </w:p>
        </w:tc>
        <w:tc>
          <w:tcPr>
            <w:tcW w:w="0" w:type="dxa"/>
            <w:vAlign w:val="bottom"/>
          </w:tcPr>
          <w:p>
            <w:pPr>
              <w:spacing w:after="0"/>
              <w:rPr>
                <w:sz w:val="1"/>
                <w:szCs w:val="1"/>
                <w:color w:val="auto"/>
              </w:rPr>
            </w:pPr>
          </w:p>
        </w:tc>
      </w:tr>
      <w:tr>
        <w:trPr>
          <w:trHeight w:val="167"/>
        </w:trPr>
        <w:tc>
          <w:tcPr>
            <w:tcW w:w="1500" w:type="dxa"/>
            <w:vAlign w:val="bottom"/>
            <w:tcBorders>
              <w:top w:val="single" w:sz="8" w:color="CCEEFF"/>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143,193</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50,482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12,615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33,121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10,937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6,525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257,006</w:t>
            </w:r>
          </w:p>
        </w:tc>
        <w:tc>
          <w:tcPr>
            <w:tcW w:w="0" w:type="dxa"/>
            <w:vAlign w:val="bottom"/>
          </w:tcPr>
          <w:p>
            <w:pPr>
              <w:spacing w:after="0"/>
              <w:rPr>
                <w:sz w:val="1"/>
                <w:szCs w:val="1"/>
                <w:color w:val="auto"/>
              </w:rPr>
            </w:pPr>
          </w:p>
        </w:tc>
      </w:tr>
      <w:tr>
        <w:trPr>
          <w:trHeight w:val="205"/>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5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79" w:hanging="330"/>
        <w:spacing w:after="0" w:line="29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real estate, net includes the land contributed to the Latitude Margaritaville Watersound JV at the Company’s historical cost basis and additional completed infrastructure improvements.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Independent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Pier Park</w:t>
            </w: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Pier Park RI</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Electric Cart</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Living JV</w:t>
            </w: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TPS JV</w:t>
            </w:r>
          </w:p>
        </w:tc>
        <w:tc>
          <w:tcPr>
            <w:tcW w:w="20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JV</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Busy Bee JV</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Management JV</w:t>
            </w:r>
          </w:p>
        </w:tc>
        <w:tc>
          <w:tcPr>
            <w:tcW w:w="160" w:type="dxa"/>
            <w:vAlign w:val="bottom"/>
          </w:tcPr>
          <w:p>
            <w:pPr>
              <w:spacing w:after="0"/>
              <w:rPr>
                <w:sz w:val="14"/>
                <w:szCs w:val="14"/>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15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real</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estate,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spacing w:after="0" w:line="217" w:lineRule="exact"/>
              <w:rPr>
                <w:sz w:val="20"/>
                <w:szCs w:val="20"/>
                <w:color w:val="auto"/>
              </w:rPr>
            </w:pPr>
            <w:r>
              <w:rPr>
                <w:rFonts w:ascii="Times New Roman" w:cs="Times New Roman" w:eastAsia="Times New Roman" w:hAnsi="Times New Roman"/>
                <w:sz w:val="16"/>
                <w:szCs w:val="16"/>
                <w:color w:val="auto"/>
              </w:rPr>
              <w:t xml:space="preserve">157,336 </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50,822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8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34,576</w:t>
            </w:r>
          </w:p>
        </w:tc>
        <w:tc>
          <w:tcPr>
            <w:tcW w:w="8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268,263</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30,594</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187,134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51,609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35,340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304,772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41,054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13,102</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24,608</w:t>
            </w:r>
          </w:p>
        </w:tc>
        <w:tc>
          <w:tcPr>
            <w:tcW w:w="8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63,774</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(deficit)</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86,248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(292)</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110,612</w:t>
            </w:r>
          </w:p>
        </w:tc>
        <w:tc>
          <w:tcPr>
            <w:tcW w:w="0" w:type="dxa"/>
            <w:vAlign w:val="bottom"/>
          </w:tcPr>
          <w:p>
            <w:pPr>
              <w:spacing w:after="0"/>
              <w:rPr>
                <w:sz w:val="1"/>
                <w:szCs w:val="1"/>
                <w:color w:val="auto"/>
              </w:rPr>
            </w:pPr>
          </w:p>
        </w:tc>
      </w:tr>
      <w:tr>
        <w:trPr>
          <w:trHeight w:val="167"/>
        </w:trPr>
        <w:tc>
          <w:tcPr>
            <w:tcW w:w="1500" w:type="dxa"/>
            <w:vAlign w:val="bottom"/>
            <w:tcBorders>
              <w:top w:val="single" w:sz="8" w:color="CCEEFF"/>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187,134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51,609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35,340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304,772</w:t>
            </w:r>
          </w:p>
        </w:tc>
        <w:tc>
          <w:tcPr>
            <w:tcW w:w="0" w:type="dxa"/>
            <w:vAlign w:val="bottom"/>
          </w:tcPr>
          <w:p>
            <w:pPr>
              <w:spacing w:after="0"/>
              <w:rPr>
                <w:sz w:val="1"/>
                <w:szCs w:val="1"/>
                <w:color w:val="auto"/>
              </w:rPr>
            </w:pPr>
          </w:p>
        </w:tc>
      </w:tr>
      <w:tr>
        <w:trPr>
          <w:trHeight w:val="205"/>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5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359" w:hanging="330"/>
        <w:spacing w:after="0" w:line="298"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real estate includes the land contributed to the Latitude Margaritaville Watersound JV at the Company’s historical cost basis and additional completed infrastructure improvements.</w:t>
      </w:r>
    </w:p>
    <w:p>
      <w:pPr>
        <w:spacing w:after="0" w:line="15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Summarized statements of operations for the Company’s unconsolidated JVs are as follows: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Three Months Ended June 30, 2025</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Cart</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120" w:type="dxa"/>
            <w:vAlign w:val="bottom"/>
          </w:tcPr>
          <w:p>
            <w:pPr>
              <w:spacing w:after="0"/>
              <w:rPr>
                <w:sz w:val="8"/>
                <w:szCs w:val="8"/>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20" w:type="dxa"/>
            <w:vAlign w:val="bottom"/>
            <w:gridSpan w:val="3"/>
            <w:vMerge w:val="restart"/>
          </w:tcPr>
          <w:p>
            <w:pPr>
              <w:jc w:val="right"/>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2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80" w:type="dxa"/>
            <w:vAlign w:val="bottom"/>
            <w:gridSpan w:val="3"/>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88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90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102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6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TPS JV</w:t>
            </w:r>
          </w:p>
        </w:tc>
        <w:tc>
          <w:tcPr>
            <w:tcW w:w="720" w:type="dxa"/>
            <w:vAlign w:val="bottom"/>
            <w:gridSpan w:val="3"/>
            <w:vMerge w:val="restart"/>
          </w:tcPr>
          <w:p>
            <w:pPr>
              <w:ind w:left="4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RI JV </w:t>
            </w:r>
            <w:r>
              <w:rPr>
                <w:rFonts w:ascii="Times New Roman" w:cs="Times New Roman" w:eastAsia="Times New Roman" w:hAnsi="Times New Roman"/>
                <w:sz w:val="19"/>
                <w:szCs w:val="19"/>
                <w:b w:val="1"/>
                <w:bCs w:val="1"/>
                <w:color w:val="auto"/>
                <w:vertAlign w:val="superscript"/>
              </w:rPr>
              <w:t>(c)</w:t>
            </w:r>
          </w:p>
        </w:tc>
        <w:tc>
          <w:tcPr>
            <w:tcW w:w="140" w:type="dxa"/>
            <w:vAlign w:val="bottom"/>
          </w:tcPr>
          <w:p>
            <w:pPr>
              <w:spacing w:after="0"/>
              <w:rPr>
                <w:sz w:val="4"/>
                <w:szCs w:val="4"/>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JV</w:t>
            </w:r>
          </w:p>
        </w:tc>
        <w:tc>
          <w:tcPr>
            <w:tcW w:w="120" w:type="dxa"/>
            <w:vAlign w:val="bottom"/>
          </w:tcPr>
          <w:p>
            <w:pPr>
              <w:spacing w:after="0"/>
              <w:rPr>
                <w:sz w:val="4"/>
                <w:szCs w:val="4"/>
                <w:color w:val="auto"/>
              </w:rPr>
            </w:pPr>
          </w:p>
        </w:tc>
        <w:tc>
          <w:tcPr>
            <w:tcW w:w="760" w:type="dxa"/>
            <w:vAlign w:val="bottom"/>
            <w:gridSpan w:val="2"/>
            <w:vMerge w:val="restart"/>
          </w:tcPr>
          <w:p>
            <w:pPr>
              <w:jc w:val="center"/>
              <w:ind w:right="240"/>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JV</w:t>
            </w:r>
            <w:r>
              <w:rPr>
                <w:rFonts w:ascii="Times New Roman" w:cs="Times New Roman" w:eastAsia="Times New Roman" w:hAnsi="Times New Roman"/>
                <w:sz w:val="9"/>
                <w:szCs w:val="9"/>
                <w:b w:val="1"/>
                <w:bCs w:val="1"/>
                <w:color w:val="auto"/>
              </w:rPr>
              <w:t xml:space="preserve"> (e)</w:t>
            </w:r>
          </w:p>
        </w:tc>
        <w:tc>
          <w:tcPr>
            <w:tcW w:w="180" w:type="dxa"/>
            <w:vAlign w:val="bottom"/>
          </w:tcPr>
          <w:p>
            <w:pPr>
              <w:spacing w:after="0"/>
              <w:rPr>
                <w:sz w:val="4"/>
                <w:szCs w:val="4"/>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JV</w:t>
            </w:r>
          </w:p>
        </w:tc>
        <w:tc>
          <w:tcPr>
            <w:tcW w:w="200" w:type="dxa"/>
            <w:vAlign w:val="bottom"/>
          </w:tcPr>
          <w:p>
            <w:pPr>
              <w:spacing w:after="0"/>
              <w:rPr>
                <w:sz w:val="4"/>
                <w:szCs w:val="4"/>
                <w:color w:val="auto"/>
              </w:rPr>
            </w:pPr>
          </w:p>
        </w:tc>
        <w:tc>
          <w:tcPr>
            <w:tcW w:w="60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w:t>
            </w: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89,921</w:t>
            </w:r>
          </w:p>
        </w:tc>
        <w:tc>
          <w:tcPr>
            <w:tcW w:w="0" w:type="dxa"/>
            <w:vAlign w:val="bottom"/>
          </w:tcPr>
          <w:p>
            <w:pPr>
              <w:spacing w:after="0"/>
              <w:rPr>
                <w:sz w:val="1"/>
                <w:szCs w:val="1"/>
                <w:color w:val="auto"/>
              </w:rPr>
            </w:pPr>
          </w:p>
        </w:tc>
      </w:tr>
      <w:tr>
        <w:trPr>
          <w:trHeight w:val="19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66,901</w:t>
            </w:r>
          </w:p>
        </w:tc>
        <w:tc>
          <w:tcPr>
            <w:tcW w:w="0" w:type="dxa"/>
            <w:vAlign w:val="bottom"/>
          </w:tcPr>
          <w:p>
            <w:pPr>
              <w:spacing w:after="0"/>
              <w:rPr>
                <w:sz w:val="1"/>
                <w:szCs w:val="1"/>
                <w:color w:val="auto"/>
              </w:rPr>
            </w:pPr>
          </w:p>
        </w:tc>
      </w:tr>
      <w:tr>
        <w:trPr>
          <w:trHeight w:val="203"/>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63,031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73,231</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16,690</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189"/>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16"/>
                <w:szCs w:val="16"/>
                <w:color w:val="auto"/>
              </w:rPr>
              <w:t>(60)</w:t>
            </w:r>
            <w:r>
              <w:rPr>
                <w:rFonts w:ascii="Times New Roman" w:cs="Times New Roman" w:eastAsia="Times New Roman" w:hAnsi="Times New Roman"/>
                <w:sz w:val="24"/>
                <w:szCs w:val="24"/>
                <w:color w:val="auto"/>
                <w:vertAlign w:val="subscript"/>
              </w:rPr>
              <w:t>(d)</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69"/>
        </w:trPr>
        <w:tc>
          <w:tcPr>
            <w:tcW w:w="212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16,869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(1,741)</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15,245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137 home sale transactions during the three months ended June 30, 2025.</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and is currently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sales showroom located in the Watersound Town Center opened in June 2024.</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Three Months Ended June 30, 2024</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Cart</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20" w:type="dxa"/>
            <w:vAlign w:val="bottom"/>
            <w:gridSpan w:val="3"/>
            <w:vMerge w:val="restart"/>
          </w:tcPr>
          <w:p>
            <w:pPr>
              <w:jc w:val="right"/>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2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640" w:type="dxa"/>
            <w:vAlign w:val="bottom"/>
            <w:gridSpan w:val="2"/>
            <w:vMerge w:val="restart"/>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140" w:type="dxa"/>
            <w:vAlign w:val="bottom"/>
          </w:tcPr>
          <w:p>
            <w:pPr>
              <w:spacing w:after="0"/>
              <w:rPr>
                <w:sz w:val="4"/>
                <w:szCs w:val="4"/>
                <w:color w:val="auto"/>
              </w:rPr>
            </w:pPr>
          </w:p>
        </w:tc>
        <w:tc>
          <w:tcPr>
            <w:tcW w:w="88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90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102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6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TPS JV</w:t>
            </w:r>
          </w:p>
        </w:tc>
        <w:tc>
          <w:tcPr>
            <w:tcW w:w="720" w:type="dxa"/>
            <w:vAlign w:val="bottom"/>
            <w:gridSpan w:val="3"/>
            <w:vMerge w:val="restart"/>
          </w:tcPr>
          <w:p>
            <w:pPr>
              <w:ind w:left="6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RI JV </w:t>
            </w:r>
            <w:r>
              <w:rPr>
                <w:rFonts w:ascii="Times New Roman" w:cs="Times New Roman" w:eastAsia="Times New Roman" w:hAnsi="Times New Roman"/>
                <w:sz w:val="19"/>
                <w:szCs w:val="19"/>
                <w:b w:val="1"/>
                <w:bCs w:val="1"/>
                <w:color w:val="auto"/>
                <w:vertAlign w:val="superscript"/>
              </w:rPr>
              <w:t>(c)</w:t>
            </w:r>
          </w:p>
        </w:tc>
        <w:tc>
          <w:tcPr>
            <w:tcW w:w="140" w:type="dxa"/>
            <w:vAlign w:val="bottom"/>
          </w:tcPr>
          <w:p>
            <w:pPr>
              <w:spacing w:after="0"/>
              <w:rPr>
                <w:sz w:val="4"/>
                <w:szCs w:val="4"/>
                <w:color w:val="auto"/>
              </w:rPr>
            </w:pPr>
          </w:p>
        </w:tc>
        <w:tc>
          <w:tcPr>
            <w:tcW w:w="50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JV</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240"/>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JV</w:t>
            </w:r>
            <w:r>
              <w:rPr>
                <w:rFonts w:ascii="Times New Roman" w:cs="Times New Roman" w:eastAsia="Times New Roman" w:hAnsi="Times New Roman"/>
                <w:sz w:val="9"/>
                <w:szCs w:val="9"/>
                <w:b w:val="1"/>
                <w:bCs w:val="1"/>
                <w:color w:val="auto"/>
              </w:rPr>
              <w:t xml:space="preserve"> (e)</w:t>
            </w:r>
          </w:p>
        </w:tc>
        <w:tc>
          <w:tcPr>
            <w:tcW w:w="180" w:type="dxa"/>
            <w:vAlign w:val="bottom"/>
          </w:tcPr>
          <w:p>
            <w:pPr>
              <w:spacing w:after="0"/>
              <w:rPr>
                <w:sz w:val="4"/>
                <w:szCs w:val="4"/>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JV</w:t>
            </w:r>
          </w:p>
        </w:tc>
        <w:tc>
          <w:tcPr>
            <w:tcW w:w="160" w:type="dxa"/>
            <w:vAlign w:val="bottom"/>
          </w:tcPr>
          <w:p>
            <w:pPr>
              <w:spacing w:after="0"/>
              <w:rPr>
                <w:sz w:val="4"/>
                <w:szCs w:val="4"/>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w:t>
            </w: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94,096</w:t>
            </w:r>
          </w:p>
        </w:tc>
        <w:tc>
          <w:tcPr>
            <w:tcW w:w="0" w:type="dxa"/>
            <w:vAlign w:val="bottom"/>
          </w:tcPr>
          <w:p>
            <w:pPr>
              <w:spacing w:after="0"/>
              <w:rPr>
                <w:sz w:val="1"/>
                <w:szCs w:val="1"/>
                <w:color w:val="auto"/>
              </w:rPr>
            </w:pPr>
          </w:p>
        </w:tc>
      </w:tr>
      <w:tr>
        <w:trPr>
          <w:trHeight w:val="19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74,455</w:t>
            </w:r>
          </w:p>
        </w:tc>
        <w:tc>
          <w:tcPr>
            <w:tcW w:w="0" w:type="dxa"/>
            <w:vAlign w:val="bottom"/>
          </w:tcPr>
          <w:p>
            <w:pPr>
              <w:spacing w:after="0"/>
              <w:rPr>
                <w:sz w:val="1"/>
                <w:szCs w:val="1"/>
                <w:color w:val="auto"/>
              </w:rPr>
            </w:pPr>
          </w:p>
        </w:tc>
      </w:tr>
      <w:tr>
        <w:trPr>
          <w:trHeight w:val="203"/>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71,534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81,638</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12,458</w:t>
            </w: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0" w:type="dxa"/>
            <w:vAlign w:val="bottom"/>
          </w:tcPr>
          <w:p>
            <w:pPr>
              <w:spacing w:after="0"/>
              <w:rPr>
                <w:sz w:val="1"/>
                <w:szCs w:val="1"/>
                <w:color w:val="auto"/>
              </w:rPr>
            </w:pPr>
          </w:p>
        </w:tc>
      </w:tr>
      <w:tr>
        <w:trPr>
          <w:trHeight w:val="203"/>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85"/>
              </w:rPr>
              <w:t>(d)</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69"/>
        </w:trPr>
        <w:tc>
          <w:tcPr>
            <w:tcW w:w="212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13,088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(2,093)</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11,104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163 home sale transactions during the three months ended June 30, 2024.</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Activity includes lease-up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sales showroom located in the Watersound Town Center opened in June 2024.</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 2025</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6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Cart</w:t>
            </w: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0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80" w:type="dxa"/>
            <w:vAlign w:val="bottom"/>
            <w:gridSpan w:val="3"/>
            <w:vMerge w:val="restart"/>
          </w:tcPr>
          <w:p>
            <w:pPr>
              <w:jc w:val="right"/>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800" w:type="dxa"/>
            <w:vAlign w:val="bottom"/>
            <w:gridSpan w:val="3"/>
            <w:vMerge w:val="restart"/>
          </w:tcPr>
          <w:p>
            <w:pPr>
              <w:jc w:val="right"/>
              <w:ind w:right="220"/>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84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90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80" w:type="dxa"/>
            <w:vAlign w:val="bottom"/>
          </w:tcPr>
          <w:p>
            <w:pPr>
              <w:spacing w:after="0"/>
              <w:rPr>
                <w:sz w:val="7"/>
                <w:szCs w:val="7"/>
                <w:color w:val="auto"/>
              </w:rPr>
            </w:pPr>
          </w:p>
        </w:tc>
        <w:tc>
          <w:tcPr>
            <w:tcW w:w="104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60" w:type="dxa"/>
            <w:vAlign w:val="bottom"/>
            <w:gridSpan w:val="3"/>
            <w:vMerge w:val="continue"/>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TPS JV</w:t>
            </w:r>
          </w:p>
        </w:tc>
        <w:tc>
          <w:tcPr>
            <w:tcW w:w="100" w:type="dxa"/>
            <w:vAlign w:val="bottom"/>
          </w:tcPr>
          <w:p>
            <w:pPr>
              <w:spacing w:after="0"/>
              <w:rPr>
                <w:sz w:val="4"/>
                <w:szCs w:val="4"/>
                <w:color w:val="auto"/>
              </w:rPr>
            </w:pPr>
          </w:p>
        </w:tc>
        <w:tc>
          <w:tcPr>
            <w:tcW w:w="680" w:type="dxa"/>
            <w:vAlign w:val="bottom"/>
            <w:gridSpan w:val="2"/>
            <w:vMerge w:val="restart"/>
          </w:tcPr>
          <w:p>
            <w:pPr>
              <w:jc w:val="right"/>
              <w:ind w:right="200"/>
              <w:spacing w:after="0" w:line="170" w:lineRule="exact"/>
              <w:rPr>
                <w:sz w:val="20"/>
                <w:szCs w:val="20"/>
                <w:color w:val="auto"/>
              </w:rPr>
            </w:pPr>
            <w:r>
              <w:rPr>
                <w:rFonts w:ascii="Times New Roman" w:cs="Times New Roman" w:eastAsia="Times New Roman" w:hAnsi="Times New Roman"/>
                <w:sz w:val="13"/>
                <w:szCs w:val="13"/>
                <w:b w:val="1"/>
                <w:bCs w:val="1"/>
                <w:color w:val="auto"/>
                <w:w w:val="90"/>
              </w:rPr>
              <w:t xml:space="preserve">RI JV </w:t>
            </w:r>
            <w:r>
              <w:rPr>
                <w:rFonts w:ascii="Times New Roman" w:cs="Times New Roman" w:eastAsia="Times New Roman" w:hAnsi="Times New Roman"/>
                <w:sz w:val="19"/>
                <w:szCs w:val="19"/>
                <w:b w:val="1"/>
                <w:bCs w:val="1"/>
                <w:color w:val="auto"/>
                <w:w w:val="90"/>
                <w:vertAlign w:val="superscript"/>
              </w:rPr>
              <w:t>(c)</w:t>
            </w:r>
          </w:p>
        </w:tc>
        <w:tc>
          <w:tcPr>
            <w:tcW w:w="160" w:type="dxa"/>
            <w:vAlign w:val="bottom"/>
          </w:tcPr>
          <w:p>
            <w:pPr>
              <w:spacing w:after="0"/>
              <w:rPr>
                <w:sz w:val="4"/>
                <w:szCs w:val="4"/>
                <w:color w:val="auto"/>
              </w:rPr>
            </w:pPr>
          </w:p>
        </w:tc>
        <w:tc>
          <w:tcPr>
            <w:tcW w:w="6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JV</w:t>
            </w:r>
          </w:p>
        </w:tc>
        <w:tc>
          <w:tcPr>
            <w:tcW w:w="120" w:type="dxa"/>
            <w:vAlign w:val="bottom"/>
          </w:tcPr>
          <w:p>
            <w:pPr>
              <w:spacing w:after="0"/>
              <w:rPr>
                <w:sz w:val="4"/>
                <w:szCs w:val="4"/>
                <w:color w:val="auto"/>
              </w:rPr>
            </w:pPr>
          </w:p>
        </w:tc>
        <w:tc>
          <w:tcPr>
            <w:tcW w:w="720" w:type="dxa"/>
            <w:vAlign w:val="bottom"/>
            <w:gridSpan w:val="2"/>
            <w:vMerge w:val="restart"/>
          </w:tcPr>
          <w:p>
            <w:pPr>
              <w:jc w:val="center"/>
              <w:ind w:right="220"/>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JV</w:t>
            </w:r>
            <w:r>
              <w:rPr>
                <w:rFonts w:ascii="Times New Roman" w:cs="Times New Roman" w:eastAsia="Times New Roman" w:hAnsi="Times New Roman"/>
                <w:sz w:val="9"/>
                <w:szCs w:val="9"/>
                <w:b w:val="1"/>
                <w:bCs w:val="1"/>
                <w:color w:val="auto"/>
              </w:rPr>
              <w:t xml:space="preserve"> (e)</w:t>
            </w:r>
          </w:p>
        </w:tc>
        <w:tc>
          <w:tcPr>
            <w:tcW w:w="200" w:type="dxa"/>
            <w:vAlign w:val="bottom"/>
          </w:tcPr>
          <w:p>
            <w:pPr>
              <w:spacing w:after="0"/>
              <w:rPr>
                <w:sz w:val="4"/>
                <w:szCs w:val="4"/>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JV</w:t>
            </w:r>
          </w:p>
        </w:tc>
        <w:tc>
          <w:tcPr>
            <w:tcW w:w="160" w:type="dxa"/>
            <w:vAlign w:val="bottom"/>
          </w:tcPr>
          <w:p>
            <w:pPr>
              <w:spacing w:after="0"/>
              <w:rPr>
                <w:sz w:val="4"/>
                <w:szCs w:val="4"/>
                <w:color w:val="auto"/>
              </w:rPr>
            </w:pP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w:t>
            </w: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213,153</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160,148</w:t>
            </w:r>
          </w:p>
        </w:tc>
        <w:tc>
          <w:tcPr>
            <w:tcW w:w="0" w:type="dxa"/>
            <w:vAlign w:val="bottom"/>
          </w:tcPr>
          <w:p>
            <w:pPr>
              <w:spacing w:after="0"/>
              <w:rPr>
                <w:sz w:val="1"/>
                <w:szCs w:val="1"/>
                <w:color w:val="auto"/>
              </w:rPr>
            </w:pPr>
          </w:p>
        </w:tc>
      </w:tr>
      <w:tr>
        <w:trPr>
          <w:trHeight w:val="203"/>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9,044</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154,076</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7,099</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173,796</w:t>
            </w: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39,357</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(1,383)</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0" w:type="dxa"/>
            <w:vAlign w:val="bottom"/>
          </w:tcPr>
          <w:p>
            <w:pPr>
              <w:spacing w:after="0"/>
              <w:rPr>
                <w:sz w:val="1"/>
                <w:szCs w:val="1"/>
                <w:color w:val="auto"/>
              </w:rPr>
            </w:pPr>
          </w:p>
        </w:tc>
      </w:tr>
      <w:tr>
        <w:trPr>
          <w:trHeight w:val="189"/>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line="217" w:lineRule="exact"/>
              <w:rPr>
                <w:sz w:val="20"/>
                <w:szCs w:val="20"/>
                <w:color w:val="auto"/>
              </w:rPr>
            </w:pPr>
            <w:r>
              <w:rPr>
                <w:rFonts w:ascii="Times New Roman" w:cs="Times New Roman" w:eastAsia="Times New Roman" w:hAnsi="Times New Roman"/>
                <w:sz w:val="16"/>
                <w:szCs w:val="16"/>
                <w:color w:val="auto"/>
              </w:rPr>
              <w:t>(172)</w:t>
            </w:r>
            <w:r>
              <w:rPr>
                <w:rFonts w:ascii="Times New Roman" w:cs="Times New Roman" w:eastAsia="Times New Roman" w:hAnsi="Times New Roman"/>
                <w:sz w:val="24"/>
                <w:szCs w:val="24"/>
                <w:color w:val="auto"/>
                <w:vertAlign w:val="subscript"/>
              </w:rPr>
              <w:t>(d)</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169"/>
        </w:trPr>
        <w:tc>
          <w:tcPr>
            <w:tcW w:w="208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(1,363)</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42,269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(3,649)</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35,776</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329 home sale transactions during the six months ended June 30, 2025.</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and is currently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 Activity primarily includes start-up, depreciation and interest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sales showroom located in the Watersound Town Center opened in June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Cart</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120" w:type="dxa"/>
            <w:vAlign w:val="bottom"/>
          </w:tcPr>
          <w:p>
            <w:pPr>
              <w:spacing w:after="0"/>
              <w:rPr>
                <w:sz w:val="8"/>
                <w:szCs w:val="8"/>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20" w:type="dxa"/>
            <w:vAlign w:val="bottom"/>
            <w:gridSpan w:val="3"/>
            <w:vMerge w:val="restart"/>
          </w:tcPr>
          <w:p>
            <w:pPr>
              <w:jc w:val="right"/>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2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640" w:type="dxa"/>
            <w:vAlign w:val="bottom"/>
            <w:gridSpan w:val="2"/>
            <w:vMerge w:val="restart"/>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140" w:type="dxa"/>
            <w:vAlign w:val="bottom"/>
          </w:tcPr>
          <w:p>
            <w:pPr>
              <w:spacing w:after="0"/>
              <w:rPr>
                <w:sz w:val="4"/>
                <w:szCs w:val="4"/>
                <w:color w:val="auto"/>
              </w:rPr>
            </w:pPr>
          </w:p>
        </w:tc>
        <w:tc>
          <w:tcPr>
            <w:tcW w:w="88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90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102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6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TPS JV</w:t>
            </w:r>
          </w:p>
        </w:tc>
        <w:tc>
          <w:tcPr>
            <w:tcW w:w="720" w:type="dxa"/>
            <w:vAlign w:val="bottom"/>
            <w:gridSpan w:val="3"/>
            <w:vMerge w:val="restart"/>
          </w:tcPr>
          <w:p>
            <w:pPr>
              <w:ind w:left="4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RI JV </w:t>
            </w:r>
            <w:r>
              <w:rPr>
                <w:rFonts w:ascii="Times New Roman" w:cs="Times New Roman" w:eastAsia="Times New Roman" w:hAnsi="Times New Roman"/>
                <w:sz w:val="19"/>
                <w:szCs w:val="19"/>
                <w:b w:val="1"/>
                <w:bCs w:val="1"/>
                <w:color w:val="auto"/>
                <w:vertAlign w:val="superscript"/>
              </w:rPr>
              <w:t>(c)</w:t>
            </w:r>
          </w:p>
        </w:tc>
        <w:tc>
          <w:tcPr>
            <w:tcW w:w="140" w:type="dxa"/>
            <w:vAlign w:val="bottom"/>
          </w:tcPr>
          <w:p>
            <w:pPr>
              <w:spacing w:after="0"/>
              <w:rPr>
                <w:sz w:val="4"/>
                <w:szCs w:val="4"/>
                <w:color w:val="auto"/>
              </w:rPr>
            </w:pPr>
          </w:p>
        </w:tc>
        <w:tc>
          <w:tcPr>
            <w:tcW w:w="50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JV</w:t>
            </w: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restart"/>
          </w:tcPr>
          <w:p>
            <w:pPr>
              <w:jc w:val="center"/>
              <w:ind w:right="260"/>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JV</w:t>
            </w:r>
            <w:r>
              <w:rPr>
                <w:rFonts w:ascii="Times New Roman" w:cs="Times New Roman" w:eastAsia="Times New Roman" w:hAnsi="Times New Roman"/>
                <w:sz w:val="9"/>
                <w:szCs w:val="9"/>
                <w:b w:val="1"/>
                <w:bCs w:val="1"/>
                <w:color w:val="auto"/>
              </w:rPr>
              <w:t xml:space="preserve"> (e)</w:t>
            </w:r>
          </w:p>
        </w:tc>
        <w:tc>
          <w:tcPr>
            <w:tcW w:w="180" w:type="dxa"/>
            <w:vAlign w:val="bottom"/>
          </w:tcPr>
          <w:p>
            <w:pPr>
              <w:spacing w:after="0"/>
              <w:rPr>
                <w:sz w:val="4"/>
                <w:szCs w:val="4"/>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JV</w:t>
            </w:r>
          </w:p>
        </w:tc>
        <w:tc>
          <w:tcPr>
            <w:tcW w:w="160" w:type="dxa"/>
            <w:vAlign w:val="bottom"/>
          </w:tcPr>
          <w:p>
            <w:pPr>
              <w:spacing w:after="0"/>
              <w:rPr>
                <w:sz w:val="4"/>
                <w:szCs w:val="4"/>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w:t>
            </w: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189,857</w:t>
            </w:r>
          </w:p>
        </w:tc>
        <w:tc>
          <w:tcPr>
            <w:tcW w:w="0" w:type="dxa"/>
            <w:vAlign w:val="bottom"/>
          </w:tcPr>
          <w:p>
            <w:pPr>
              <w:spacing w:after="0"/>
              <w:rPr>
                <w:sz w:val="1"/>
                <w:szCs w:val="1"/>
                <w:color w:val="auto"/>
              </w:rPr>
            </w:pPr>
          </w:p>
        </w:tc>
      </w:tr>
      <w:tr>
        <w:trPr>
          <w:trHeight w:val="19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149,271</w:t>
            </w:r>
          </w:p>
        </w:tc>
        <w:tc>
          <w:tcPr>
            <w:tcW w:w="0" w:type="dxa"/>
            <w:vAlign w:val="bottom"/>
          </w:tcPr>
          <w:p>
            <w:pPr>
              <w:spacing w:after="0"/>
              <w:rPr>
                <w:sz w:val="1"/>
                <w:szCs w:val="1"/>
                <w:color w:val="auto"/>
              </w:rPr>
            </w:pPr>
          </w:p>
        </w:tc>
      </w:tr>
      <w:tr>
        <w:trPr>
          <w:trHeight w:val="203"/>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10,127</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145,217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161,946</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(2,187)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27,911</w:t>
            </w: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0" w:type="dxa"/>
            <w:vAlign w:val="bottom"/>
          </w:tcPr>
          <w:p>
            <w:pPr>
              <w:spacing w:after="0"/>
              <w:rPr>
                <w:sz w:val="1"/>
                <w:szCs w:val="1"/>
                <w:color w:val="auto"/>
              </w:rPr>
            </w:pPr>
          </w:p>
        </w:tc>
      </w:tr>
      <w:tr>
        <w:trPr>
          <w:trHeight w:val="203"/>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85"/>
              </w:rPr>
              <w:t>(d)</w:t>
            </w:r>
          </w:p>
        </w:tc>
        <w:tc>
          <w:tcPr>
            <w:tcW w:w="1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69"/>
        </w:trPr>
        <w:tc>
          <w:tcPr>
            <w:tcW w:w="212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29,646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(3,443)</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25,876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340 home sale transactions during the six months ended June 30, 2024.</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Activity includes pre-opening and lease-up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sales showroom located in the Watersound Town Center opened in June 2024.</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Latitude Margaritaville Watersound JV</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LMWS, LLC (“Latitude Margaritaville Watersound JV”) was formed in 2019, when the Company entered into a JV agreement to develop a 55+ active adult residential community in Bay County, Florida. As of June 30, 2025, the Latitude Margaritaville Watersound JV had 216 homes under contract and has completed 1,992 home sale transactions of the total estimated 3,500 homes planned in the community. As of June 30, 2025 and December 31, 2024, the Company’s investment in the unconsolidated Latitude Margaritaville Watersound JV was $62.1 million and $53.4 million, respectively, which includes the net present value of the land contribution, cash contributions, additional completed infrastructure improvements and equity in income, less distributions. During the six months ended June 30, 2025 and 2024, the Company received $13.4 million and $9.6 million, respectively, of cash distributions from the JV. As of June 30, 2025, the Company completed $8.4 million of the $9.2 million total agreed upon infrastructure improvements. As of June 30, 2025 and December 31, 2024, the Company owned a 50.0% interest in the JV. The Company’s unimproved land contribution and agreed upon infrastructure improvements are being distributed at an average of $10,000 per home, as each home is sold by the JV.</w:t>
      </w:r>
    </w:p>
    <w:p>
      <w:pPr>
        <w:spacing w:after="0" w:line="190"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Per the JV agreement, the Company, as lender, provided interest-bearing financing in the form of a $10.0 million secured revolving promissory note (the “Latitude JV Note”) to the Latitude Margaritaville Watersound JV, as borrower, to finance the development of the pod-level, non-spine infrastructure. The Latitude JV Note matured in June 2025. As of December 31, 2024, there was no balance outstanding on the Latitude JV Note. The day-to-day activities of the JV are being managed through a board of managers, with each JV partner having equal voting rights. The Company has determined that Latitude Margaritaville Watersound JV is a VIE, but that the Company is not the primary beneficiary since it does not have the power to direct the activities that most significantly impact the economic performance of the JV. The Company’s investment in the Latitude Margaritaville Watersound JV is accounted for using the equity method.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related to the guaranty by the Company.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Fountains Independent Living JV</w:t>
      </w:r>
    </w:p>
    <w:p>
      <w:pPr>
        <w:spacing w:after="0" w:line="22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WOSL, LLC (“Watersound Fountains Independent Living JV”) was formed in 2021. The Company entered into a JV agreement to develop, construct and manage a 148-unit independent senior living community located near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Watersound Origins residential community. The community opened in March 2024. As of June 30, 2025 and</w:t>
      </w:r>
    </w:p>
    <w:p>
      <w:pPr>
        <w:spacing w:after="0" w:line="27" w:lineRule="exact"/>
        <w:rPr>
          <w:sz w:val="20"/>
          <w:szCs w:val="20"/>
          <w:color w:val="auto"/>
        </w:rPr>
      </w:pPr>
    </w:p>
    <w:p>
      <w:pPr>
        <w:jc w:val="both"/>
        <w:ind w:left="60" w:right="139"/>
        <w:spacing w:after="0" w:line="252" w:lineRule="auto"/>
        <w:rPr>
          <w:sz w:val="20"/>
          <w:szCs w:val="20"/>
          <w:color w:val="auto"/>
        </w:rPr>
      </w:pPr>
      <w:r>
        <w:rPr>
          <w:rFonts w:ascii="Times New Roman" w:cs="Times New Roman" w:eastAsia="Times New Roman" w:hAnsi="Times New Roman"/>
          <w:sz w:val="18"/>
          <w:szCs w:val="18"/>
          <w:color w:val="auto"/>
        </w:rPr>
        <w:t xml:space="preserve">December 31, 2024, the Company owned a 53.8% interest in the JV. The Company’s partner is responsible for the day-to-day activities of the JV. The Company has determined that Watersound Fountains Independent Living JV is a VIE, but that the Company is not the primary beneficiary since it does not have the power to direct the activities that most significantly impact the economic performance of the JV. The Company’s investment in Watersound Fountains Independent Living JV is accounted for using the equity method.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related to debt guaranteed by the Company.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TPS JV</w:t>
      </w:r>
    </w:p>
    <w:p>
      <w:pPr>
        <w:spacing w:after="0" w:line="22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Pier Park TPS, LLC (“Pier Park TPS JV”) was formed in 2018. The Company entered into a JV agreement to develop and operate a 124-room hotel in Panama City Beach, Florida. As of June 30, 2025 and December 31, 2024, the Company owned a 50.0% interest in the JV. During the six months ended June 30, 2024, the Company received $0.2 million of cash distributions from the JV. The Company’s partner is responsible for the day-to-day activities of the JV. The Company has determined that Pier Park TPS JV is a VIE, but that the Company is not the primary beneficiary since it does not have the power to direct the activities that most significantly impact the economic performance of the JV. The Company’s investment in Pier Park TPS JV is accounted for using the equity method.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related to debt guaranteed by the Company.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RI JV</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Pier Park RI, LLC (“Pier Park RI JV”) was formed in 2022. The Company entered into a JV agreement to develop and operate a 121-room hotel in Panama City Beach, Florida. The hotel opened in April 2024. As of June 30, 2025 and December 31, 2024, the Company owned a 50.0% interest in the JV. The Company’s partner is responsible for the day-to-day activities of the JV. The Company has determined that Pier Park RI JV is a VIE, but that the Company is not the primary beneficiary since it does not have the power to direct the activities that most significantly impact the economic performance of the JV. The Company’s investment in Pier Park RI JV is accounted for using the equity method. In 2022, the JV entered into a $25.0 million loan (the “Pier Park RI JV Loan”). The Pier Park RI JV Loan bears interest at the Secured Overnight Financing Rate (“SOFR”) plus 2.5% and matures in September 2025. The Pier Park RI JV Loan includes an option for a fixed rate conversion and two options to extend the maturity date by twenty-four months each, upon satisfaction of certain terms and conditions. The loan is secured by real property and certain other security interests. The Company’s JV partner is the sole guarantor and receives a fee related to the guarantee from the Company based on the Company’s ownership percentage. As of both June 30, 2025 and December 31, 2024, $24.9 million was outstanding on the Pier Park RI JV Loan.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Busy Bee JV</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SJBB, LLC (“Busy Bee JV”) was formed in 2019, when the Company entered into a JV agreement to construct, own and manage a Busy Bee branded fuel station and convenience store, which includes a Starbucks, in Panama City Beach, Florida. As of June 30, 2025 and December 31, 2024, the Company owned a 50.0% interest in the JV. The Company’s partner is responsible for the day-to-day activities of the JV. The Company has determined that Busy Bee JV is a VIE, but that the Company is not the primary beneficiary since it does not have the power to direct the activities that most significantly impact the economic performance of the JV. The Company’s investment in the Busy Bee JV is accounted for using the equity method. In 2019, the JV, entered into a $5.4 million construction loan (the “Busy Bee JV Construction Loan”) and a $1.2 million equipment loan (the “Busy Bee JV Equipment Loan”). The Busy Bee JV Construction Loan and the Busy Bee JV Equipment Loan bear interest at SOFR plus 1.6%. The Busy Bee JV Construction Loan provides for monthly principal and interest payments with a final balloon payment at maturity in November 2035. The Busy Bee JV Equipment Loan provides for monthly principal and interest payments through maturity in November 2027. The loans are secured by real and personal property and certain other security interests. The Company’s JV partner is the sole guarantor and receives a fee related to the guarantee from the Company based on the Company’s ownership percentage. The Busy Bee JV entered into an interest rate swap to hedge cash flows tied to changes in the underlying floating interest rate tied to SOFR for the Busy Bee JV Construction Loan and the Busy Bee JV Equipment Loan. The Busy Bee JV Construction Loan interest rate swap matures in November 2035 and fixed the variable rate debt, initially at $5.4 million amortizing to $2.8 million at swap maturity, to a rate of 2.7%. The Busy Bee JV Equipment Loan interest rate swap matures in November 2027 and fixed the variable rate debt, initially at $1.2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million to maturity, to a rate of 2.1%. As of June 30, 2025 and December 31, 2024, $4.7 million and $4.8 million, respectively, was outstanding on the Busy Bee JV Construction Loan. As of both June 30, 2025 and December 31, 2024, $0.5 million was outstanding on the Busy Bee JV Equipment Loan.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Electric Cart Watersound JV</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SJECC, LLC (“Electric Cart Watersound JV”) was formed in 2022, when the Company entered into a JV agreement to develop, construct, lease, manage and operate a golf cart and low speed vehicle “LSV” business at the new Watersound West Bay Center adjacent to the Latitude Margaritaville Watersound residential community in Bay County, Florida and at the Watersound Town Center near the Watersound Origins residential community. The Watersound Town Center showroom opened in June 2024 on property leased to the JV by the Company. As of June 30, 2025 and December 31, 2024, the Company owned a 51% interest in the JV. The Company’s JV partner manages the day-to-day operations of the business. The Company has determined Electric Cart Watersound JV is a VIE, but that the Company is not the primary beneficiary since it does not have the power to direct the activities that most significantly impact the economic performance of the JV. The Company’s investment in Electric Cart Watersound JV is accounted for using the equity method. As of June 30, 2025 and December 31, 2024, the Electric Cart Watersound JV had $2.2 million and $2.4 million, respectively, of floorplan line of credit facilities to finance its golf cart and LSV inventory, which are secured by the JV. Borrowings under the line of credit facility bear interest at various rates based on the number of days outstanding after an interest free period ranging from two to six months. As of June 30, 2025 and December 31, 2024, the JV had an outstanding principal balance of $0.4 million and $0.5 million, respectively, on these line of credit facilities.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related to debt guaranteed by the Company.</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Management JV</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Watersound Management, LLC was formed in 2021, when the Company entered into a JV agreement to lease, manage and operate multi-family housing developments for which the JV is the exclusive renting and management agent. All activity of Watersound Management JV is related to multi-family housing developments owned by the Company or by consolidated JVs of the Company. As of June 30, 2025 and December 31, 2024, the Company owned a 50.0% interest in the JV. During each of the six months ended June 30, 2025 and 2024, the Company received less than $0.1 million of cash distributions from the JV. The day-to-day activities of the JV are being managed through a board of managers, with each JV partner having equal voting rights. The Company has determined that Watersound Management JV is a voting interest entity, but that the Company does not have a majority voting interest. The Company’s investment in Watersound Management JV is accounted for using the equity method. See Note 18.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Financial Instruments and Fair Value Measurements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financial instruments measured at fair value on a recurring basis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0"/>
                <w:szCs w:val="10"/>
                <w:color w:val="auto"/>
              </w:rPr>
            </w:pPr>
          </w:p>
        </w:tc>
        <w:tc>
          <w:tcPr>
            <w:tcW w:w="7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Total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62,684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74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0"/>
                <w:szCs w:val="10"/>
                <w:color w:val="auto"/>
              </w:rPr>
            </w:pP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Total Fair</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61,379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61,379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Money market funds and U.S. Treasury Bills are measured based on quoted market prices in an active market and categorized within Level 1 of the fair value hierarchy. Money market funds and short-term U.S. Treasury Bills with a maturity date of 90 days or less from the date of purchase are classified as cash equivalents in the Company’s condensed consolidated balance sheets.</w:t>
      </w:r>
    </w:p>
    <w:p>
      <w:pPr>
        <w:spacing w:after="0" w:line="180"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related to interest rate swap agreements designated as cash flow hedges are as follows: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Fixed</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Notional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Location in</w:t>
            </w:r>
          </w:p>
        </w:tc>
        <w:tc>
          <w:tcPr>
            <w:tcW w:w="0" w:type="dxa"/>
            <w:vAlign w:val="bottom"/>
          </w:tcPr>
          <w:p>
            <w:pPr>
              <w:spacing w:after="0"/>
              <w:rPr>
                <w:sz w:val="1"/>
                <w:szCs w:val="1"/>
                <w:color w:val="auto"/>
              </w:rPr>
            </w:pPr>
          </w:p>
        </w:tc>
      </w:tr>
      <w:tr>
        <w:trPr>
          <w:trHeight w:val="155"/>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Effective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Maturity</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Amount as of</w:t>
            </w:r>
          </w:p>
        </w:tc>
        <w:tc>
          <w:tcPr>
            <w:tcW w:w="100" w:type="dxa"/>
            <w:vAlign w:val="bottom"/>
          </w:tcPr>
          <w:p>
            <w:pPr>
              <w:spacing w:after="0"/>
              <w:rPr>
                <w:sz w:val="13"/>
                <w:szCs w:val="13"/>
                <w:color w:val="auto"/>
              </w:rPr>
            </w:pPr>
          </w:p>
        </w:tc>
        <w:tc>
          <w:tcPr>
            <w:tcW w:w="204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Derivative Asset Fair Value</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28"/>
        </w:trPr>
        <w:tc>
          <w:tcPr>
            <w:tcW w:w="154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10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tcPr>
          <w:p>
            <w:pPr>
              <w:spacing w:after="0"/>
              <w:rPr>
                <w:sz w:val="11"/>
                <w:szCs w:val="11"/>
                <w:color w:val="auto"/>
              </w:rPr>
            </w:pPr>
          </w:p>
        </w:tc>
        <w:tc>
          <w:tcPr>
            <w:tcW w:w="48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3"/>
              <w:spacing w:after="0" w:line="129" w:lineRule="exact"/>
              <w:rPr>
                <w:sz w:val="20"/>
                <w:szCs w:val="20"/>
                <w:color w:val="auto"/>
              </w:rPr>
            </w:pPr>
            <w:r>
              <w:rPr>
                <w:rFonts w:ascii="Times New Roman" w:cs="Times New Roman" w:eastAsia="Times New Roman" w:hAnsi="Times New Roman"/>
                <w:sz w:val="13"/>
                <w:szCs w:val="13"/>
                <w:b w:val="1"/>
                <w:bCs w:val="1"/>
                <w:color w:val="auto"/>
                <w:w w:val="97"/>
              </w:rPr>
              <w:t>June 30, 2025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June 30, 2025   December 31, 2024</w:t>
            </w:r>
          </w:p>
        </w:tc>
        <w:tc>
          <w:tcPr>
            <w:tcW w:w="100" w:type="dxa"/>
            <w:vAlign w:val="bottom"/>
          </w:tcPr>
          <w:p>
            <w:pPr>
              <w:spacing w:after="0"/>
              <w:rPr>
                <w:sz w:val="11"/>
                <w:szCs w:val="11"/>
                <w:color w:val="auto"/>
              </w:rPr>
            </w:pPr>
          </w:p>
        </w:tc>
        <w:tc>
          <w:tcPr>
            <w:tcW w:w="4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8"/>
              </w:rPr>
              <w:t>Level</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Balance Sheets</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93"/>
              <w:spacing w:after="0" w:line="129"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right"/>
              <w:ind w:right="64"/>
              <w:spacing w:after="0" w:line="12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Pier Park Resort Hotel</w:t>
            </w: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5"/>
                <w:szCs w:val="15"/>
                <w:color w:val="auto"/>
              </w:rPr>
              <w:t xml:space="preserve">JV Loan </w:t>
            </w:r>
            <w:r>
              <w:rPr>
                <w:rFonts w:ascii="Times New Roman" w:cs="Times New Roman" w:eastAsia="Times New Roman" w:hAnsi="Times New Roman"/>
                <w:sz w:val="21"/>
                <w:szCs w:val="21"/>
                <w:color w:val="auto"/>
                <w:vertAlign w:val="superscript"/>
              </w:rPr>
              <w:t>(a)</w:t>
            </w:r>
          </w:p>
        </w:tc>
        <w:tc>
          <w:tcPr>
            <w:tcW w:w="10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rPr>
              <w:t>December 2022</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April 2027</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1,691</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0" w:type="dxa"/>
            <w:vAlign w:val="bottom"/>
          </w:tcPr>
          <w:p>
            <w:pPr>
              <w:spacing w:after="0"/>
              <w:rPr>
                <w:sz w:val="1"/>
                <w:szCs w:val="1"/>
                <w:color w:val="auto"/>
              </w:rPr>
            </w:pPr>
          </w:p>
        </w:tc>
      </w:tr>
      <w:tr>
        <w:trPr>
          <w:trHeight w:val="145"/>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Accounts</w:t>
            </w:r>
          </w:p>
        </w:tc>
        <w:tc>
          <w:tcPr>
            <w:tcW w:w="0" w:type="dxa"/>
            <w:vAlign w:val="bottom"/>
          </w:tcPr>
          <w:p>
            <w:pPr>
              <w:spacing w:after="0"/>
              <w:rPr>
                <w:sz w:val="1"/>
                <w:szCs w:val="1"/>
                <w:color w:val="auto"/>
              </w:rPr>
            </w:pPr>
          </w:p>
        </w:tc>
      </w:tr>
      <w:tr>
        <w:trPr>
          <w:trHeight w:val="20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Pier Park TPS JV Loan</w:t>
            </w:r>
          </w:p>
        </w:tc>
        <w:tc>
          <w:tcPr>
            <w:tcW w:w="1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5"/>
                <w:szCs w:val="15"/>
                <w:color w:val="auto"/>
              </w:rPr>
              <w:t>January 2021</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January 2026</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60" w:type="dxa"/>
            <w:vAlign w:val="bottom"/>
          </w:tcPr>
          <w:p>
            <w:pPr>
              <w:spacing w:after="0"/>
              <w:rPr>
                <w:sz w:val="17"/>
                <w:szCs w:val="17"/>
                <w:color w:val="auto"/>
              </w:rPr>
            </w:pPr>
          </w:p>
        </w:tc>
        <w:tc>
          <w:tcPr>
            <w:tcW w:w="48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Pr>
          <w:p>
            <w:pPr>
              <w:spacing w:after="0"/>
              <w:rPr>
                <w:sz w:val="17"/>
                <w:szCs w:val="17"/>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2</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payable and</w:t>
            </w:r>
          </w:p>
        </w:tc>
        <w:tc>
          <w:tcPr>
            <w:tcW w:w="0" w:type="dxa"/>
            <w:vAlign w:val="bottom"/>
          </w:tcPr>
          <w:p>
            <w:pPr>
              <w:spacing w:after="0"/>
              <w:rPr>
                <w:sz w:val="1"/>
                <w:szCs w:val="1"/>
                <w:color w:val="auto"/>
              </w:rPr>
            </w:pPr>
          </w:p>
        </w:tc>
      </w:tr>
      <w:tr>
        <w:trPr>
          <w:trHeight w:val="198"/>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2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28575</wp:posOffset>
            </wp:positionV>
            <wp:extent cx="141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17"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8. </w:t>
      </w:r>
      <w:r>
        <w:rPr>
          <w:rFonts w:ascii="Times New Roman" w:cs="Times New Roman" w:eastAsia="Times New Roman" w:hAnsi="Times New Roman"/>
          <w:sz w:val="16"/>
          <w:szCs w:val="16"/>
          <w:i w:val="1"/>
          <w:iCs w:val="1"/>
          <w:color w:val="auto"/>
        </w:rPr>
        <w:t>Debt, Net</w:t>
      </w:r>
      <w:r>
        <w:rPr>
          <w:rFonts w:ascii="Times New Roman" w:cs="Times New Roman" w:eastAsia="Times New Roman" w:hAnsi="Times New Roman"/>
          <w:sz w:val="16"/>
          <w:szCs w:val="16"/>
          <w:color w:val="auto"/>
        </w:rPr>
        <w:t xml:space="preserve"> for additional information.</w:t>
      </w:r>
    </w:p>
    <w:p>
      <w:pPr>
        <w:spacing w:after="0" w:line="28" w:lineRule="exact"/>
        <w:rPr>
          <w:rFonts w:ascii="Times New Roman" w:cs="Times New Roman" w:eastAsia="Times New Roman" w:hAnsi="Times New Roman"/>
          <w:sz w:val="16"/>
          <w:szCs w:val="16"/>
          <w:color w:val="auto"/>
        </w:rPr>
      </w:pPr>
    </w:p>
    <w:p>
      <w:pPr>
        <w:ind w:left="380" w:right="139" w:hanging="330"/>
        <w:spacing w:after="0" w:line="270" w:lineRule="auto"/>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Interest rate swap was entered into by the Pier Park TPS JV, which is unconsolidated and accounted for using the equity method. The derivative asset has been recorded at the Company’s proportionate share of its estimated fair value. The Company’s proportionate share of the gain or loss on the derivative instrument is reported as a component of other comprehensive (loss) income and reclassified into equity in income from unconsolidated joint ventures in the period during which the hedged transaction affects earnings.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17.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for additional information.</w:t>
      </w:r>
    </w:p>
    <w:p>
      <w:pPr>
        <w:spacing w:after="0" w:line="181" w:lineRule="exact"/>
        <w:rPr>
          <w:sz w:val="20"/>
          <w:szCs w:val="20"/>
          <w:color w:val="auto"/>
        </w:rPr>
      </w:pPr>
    </w:p>
    <w:p>
      <w:pPr>
        <w:ind w:left="60" w:right="73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effect of derivative instruments on the Company’s condensed consolidated statements of income and condensed consolidated statements of comprehensive income: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4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r>
      <w:tr>
        <w:trPr>
          <w:trHeight w:val="210"/>
        </w:trPr>
        <w:tc>
          <w:tcPr>
            <w:tcW w:w="5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net gain (loss) recognized in other comprehensive (loss)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net gain reclassified into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198"/>
        </w:trPr>
        <w:tc>
          <w:tcPr>
            <w:tcW w:w="5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Amount of net gain reclassified into equity in income from unconsolidated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ventures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2025, based on current value, the Company expects to reclassify $1.1 million of derivative instruments from accumulated other comprehensive income to earnings during the next twelve months. See Note 12.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for additional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Unconsolidated Joint Ventures</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its investment in unconsolidated JVs for impairment during each reporting period. A series of operating losses of an investee or other factors may indicate that a decrease in the value of the Company’s investment in the unconsolidated JV has occurred. The amount of impairment recognized is the excess of the investment’s carrying value over its estimated fair value. The fair value of the Company’s investment in unconsolidated JVs is determined primarily using a discounted cash flow model to value the underlying net assets or cash flows of the respective JV. The fair value of investment in unconsolidated JVs required to be assessed for impairment is determined using Level 3 inputs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 xml:space="preserve">in the fair value hierarchy. No impairment for unconsolidated JVs was recorded during the three and six months ended June 30, 2025 and 2024.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cash and cash equivalents, restricted cash, receivables, other assets, accounts payable and other liabilities approximate fair value due to the short-term nature of these instruments.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uses the following methods and assumptions in estimating fair value for financial instruments:</w:t>
      </w:r>
    </w:p>
    <w:p>
      <w:pPr>
        <w:spacing w:after="0" w:line="117" w:lineRule="exact"/>
        <w:rPr>
          <w:sz w:val="20"/>
          <w:szCs w:val="20"/>
          <w:color w:val="auto"/>
        </w:rPr>
      </w:pPr>
    </w:p>
    <w:p>
      <w:pPr>
        <w:ind w:left="720" w:right="179" w:hanging="319"/>
        <w:spacing w:after="0" w:line="28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investments held by SPE - time deposit is based on the present value of future cash flows at the current market rate.</w:t>
      </w:r>
    </w:p>
    <w:p>
      <w:pPr>
        <w:spacing w:after="0" w:line="1" w:lineRule="exact"/>
        <w:rPr>
          <w:rFonts w:ascii="Times New Roman" w:cs="Times New Roman" w:eastAsia="Times New Roman" w:hAnsi="Times New Roman"/>
          <w:sz w:val="18"/>
          <w:szCs w:val="18"/>
          <w:color w:val="auto"/>
        </w:rPr>
      </w:pPr>
    </w:p>
    <w:p>
      <w:pPr>
        <w:ind w:left="720" w:right="219" w:hanging="319"/>
        <w:spacing w:after="0" w:line="28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investments held by SPE - U.S. Treasury Bills are measured based on quoted market prices in an active market.</w:t>
      </w:r>
    </w:p>
    <w:p>
      <w:pPr>
        <w:spacing w:after="0" w:line="1" w:lineRule="exact"/>
        <w:rPr>
          <w:rFonts w:ascii="Times New Roman" w:cs="Times New Roman" w:eastAsia="Times New Roman" w:hAnsi="Times New Roman"/>
          <w:sz w:val="18"/>
          <w:szCs w:val="18"/>
          <w:color w:val="auto"/>
        </w:rPr>
      </w:pPr>
    </w:p>
    <w:p>
      <w:pPr>
        <w:ind w:left="720" w:right="679" w:hanging="319"/>
        <w:spacing w:after="0" w:line="28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debt is based on discounted future expected cash flows based on current market rates for financial instruments with similar risks, terms and maturities.</w:t>
      </w:r>
    </w:p>
    <w:p>
      <w:pPr>
        <w:spacing w:after="0" w:line="1"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senior notes held by SPE is based on the present value of future cash flows at the current market rate.</w:t>
      </w:r>
    </w:p>
    <w:p>
      <w:pPr>
        <w:spacing w:after="0" w:line="162"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and estimated fair value, measured on a nonrecurring basis, of the Company’s financial instruments were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7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480" w:type="dxa"/>
            <w:vAlign w:val="bottom"/>
            <w:gridSpan w:val="2"/>
            <w:vMerge w:val="restart"/>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 w:type="dxa"/>
            <w:vAlign w:val="bottom"/>
          </w:tcPr>
          <w:p>
            <w:pPr>
              <w:spacing w:after="0"/>
              <w:rPr>
                <w:sz w:val="10"/>
                <w:szCs w:val="10"/>
                <w:color w:val="auto"/>
              </w:rPr>
            </w:pPr>
          </w:p>
        </w:tc>
        <w:tc>
          <w:tcPr>
            <w:tcW w:w="780" w:type="dxa"/>
            <w:vAlign w:val="bottom"/>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40" w:type="dxa"/>
            <w:vAlign w:val="bottom"/>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by SPEs: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Time deposit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4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5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held by SPE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182,875</w:t>
            </w:r>
          </w:p>
        </w:tc>
        <w:tc>
          <w:tcPr>
            <w:tcW w:w="4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178,484</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178,473</w:t>
            </w:r>
          </w:p>
        </w:tc>
        <w:tc>
          <w:tcPr>
            <w:tcW w:w="5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Fixed-rate debt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234,688</w:t>
            </w:r>
          </w:p>
        </w:tc>
        <w:tc>
          <w:tcPr>
            <w:tcW w:w="4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258,135</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206,775</w:t>
            </w:r>
          </w:p>
        </w:tc>
        <w:tc>
          <w:tcPr>
            <w:tcW w:w="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Variable-rate debt</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149,970</w:t>
            </w:r>
          </w:p>
        </w:tc>
        <w:tc>
          <w:tcPr>
            <w:tcW w:w="4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184,581</w:t>
            </w:r>
          </w:p>
        </w:tc>
        <w:tc>
          <w:tcPr>
            <w:tcW w:w="5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432,421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384,658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442,716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Senior Notes Held by Special Purpose Entities</w:t>
      </w:r>
    </w:p>
    <w:p>
      <w:pPr>
        <w:spacing w:after="0" w:line="229"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connection with a real estate sale in 2014, the Company received consideration including a $200.0 million fifteen-year installment note (the “Timber Note”) issued by Panama City Timber Finance Company, LLC. The Company contributed the Timber Note and assigned its rights as a beneficiary under a letter of credit to Northwest Florida Timber Finance, LLC. Northwest Florida Timber Finance, LLC monetized the Timber Note by issuing $180.0 million aggregate principal amount of its 4.8% Senior Secured Notes due in 2029 (the “Senior Notes”) at an issue price of 98.5% of face value to third party investors. The investments held by Panama City Timber Finance Company, LLC as of June 30, 2025, consist of a $200.0 million time deposit that, subsequent to April 2, 2014, pays interest at 4.0% and matures in</w:t>
      </w:r>
    </w:p>
    <w:p>
      <w:pPr>
        <w:spacing w:after="0" w:line="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March 2029, U.S. Treasuries of $2.8 million and cash of $0.3 million. The Senior Notes held by Northwest Florida Timber Finance, LLC as of June 30, 2025 consist of $178.7 million, net of the $1.3 million discount and debt issuance costs. Panama City Timber Finance Company, LLC and Northwest Florida Timber Finance, LLC are VIEs, which the Company consolidates as the primary beneficiary of each entity.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Company as Lessor</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Leasing revenue consists of rental revenue from multi-family, senior living, self-storage, retail, office and commercial property, marinas, cell towers and other assets, which is recognized as earned, using the straight-line method over the life of each lease. Variable lease payments primarily include property taxes, insurance, utilities and common area maintenance or payments based on a percentage of sales over specified levels and senior living services. The Company’s leases have remaining lease terms up to the year 2072, some of which include options to terminate or extend.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3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204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43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Leasing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payments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27,709</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24,503</w:t>
            </w: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lease payments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leasing revenue</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32,750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29,094</w:t>
            </w: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Minimum future base rental revenue on non-cancelable leases subsequent to June 30, 2025, for the years ending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are:</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21,973</w:t>
            </w: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w:t>
            </w:r>
          </w:p>
        </w:tc>
      </w:tr>
      <w:tr>
        <w:trPr>
          <w:trHeight w:val="216"/>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38,943</w:t>
            </w:r>
          </w:p>
        </w:tc>
      </w:tr>
      <w:tr>
        <w:trPr>
          <w:trHeight w:val="209"/>
        </w:trPr>
        <w:tc>
          <w:tcPr>
            <w:tcW w:w="7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119,732</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Company as Lessee</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of June 30, 2025, the Company leased certain office and other equipment under finance leases and had operating leases for property and equipment used in corporate, hospitality and commercial operations with remaining lease terms up to the year 2081. Operating leases also include property for hospitality employee housing. Certain leases include options to purchase, terminate or renew for one or more years, which are included in the lease term used to establish right-of-use assets and lease liabilities when it is reasonably certain that the option will be exercised. The Company uses its incremental borrowing rate to determine the present value of the lease payments since the rate implicit in each lease is not readily determinable. The Company recognizes short-term (twelve months or less) lease payments in profit or loss on a straight-line basis over the term of the lease and variable lease payments in the period in which the obligation for those payments is incurred.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3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20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3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tcBorders>
              <w:bottom w:val="single" w:sz="8" w:color="CCEEFF"/>
            </w:tcBorders>
          </w:tcPr>
          <w:p>
            <w:pPr>
              <w:spacing w:after="0"/>
              <w:rPr>
                <w:sz w:val="18"/>
                <w:szCs w:val="18"/>
                <w:color w:val="auto"/>
              </w:rPr>
            </w:pPr>
          </w:p>
        </w:tc>
      </w:tr>
      <w:tr>
        <w:trPr>
          <w:trHeight w:val="209"/>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4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w w:val="99"/>
              </w:rPr>
              <w:t>Weighted-average remaining lease term - finance lease (in</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r>
      <w:tr>
        <w:trPr>
          <w:trHeight w:val="198"/>
        </w:trPr>
        <w:tc>
          <w:tcPr>
            <w:tcW w:w="4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years)</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20"/>
                <w:szCs w:val="20"/>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5.6 %</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aggregate payments of finance and operating lease liabilities subsequent to June 30, 2025, for the years ending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are:</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 Other Assets</w:t>
            </w: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15,085</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Homesite sales receivable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Straight-line rent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 for Senior Notes held by SPE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81,793</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net primarily include leasing receivables, membership fees, hospitality receivables and other receivables. Accounts receivable, net had opening balances of $14.6 million and $20.3 million, as of January 1, 2025 and 2024, respectively. As of June 30, 2025 and December 31, 2024, accounts receivable, net includes $6.1 million and $7.5 million, respectively, of club membership initiation fee installments receivable.</w:t>
      </w:r>
    </w:p>
    <w:p>
      <w:pPr>
        <w:spacing w:after="0" w:line="17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At each reporting period, accounts receivable in the scope of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are pooled by type and judgements are made based on historical losses and expected credit losses based on economic trends to determine the allowance for credit losses primarily using the aging method. Actual losses could differ from those estimates. Write-offs are recorded when the Company concludes that all or a portion of the receivable is no longer collectible. As of both June 30, 2025 and December 31, 2024, accounts receivable, net were presented net of allowance for credit losses and net of allowance for lease related receivables of $0.3 million. During the six months ended June 30, 2025 and 2024, allowance for credit losses and allowance for leases related to accounts receivable, net increased less than $0.1 million and $0.2 million,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Homesite Sales Receivable</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Homesite sales receivable from contracts with customers include estimated homesite residuals and certain estimated fees that are recognized as revenue at the time of sale to homebuilders, subject to constraints. Any change in circumstances from the estimated amounts will be updated at each reporting period. The receivable will be collected as the homebuilders build the homes and sell to retail consumers, which can occur over multiple years.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changes in homesite sales receivable: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29,862</w:t>
            </w: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due to revenue recognized for homesites sold</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due to amounts received</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29,010</w:t>
            </w: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w:t>
      </w:r>
    </w:p>
    <w:p>
      <w:pPr>
        <w:spacing w:after="0" w:line="22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Prepaid expenses as of June 30, 2025 and December 31, 2024, include commercial leasing related prepaid expenses of $4.3 million and $4.7 million, respectively, and prepaid insurance of $7.5 million and $4.7 million, respectively, as well as other prepaid items.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Restricted cash as of June 30, 2025 and December 31, 2024, includes cash and escrow deposits primarily related to requirements for financing, development for certain of the Company’s projects or long-term mitigation bank management.</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ind w:left="60" w:right="119" w:firstLine="324"/>
        <w:spacing w:after="0" w:line="312" w:lineRule="auto"/>
        <w:rPr>
          <w:sz w:val="20"/>
          <w:szCs w:val="20"/>
          <w:color w:val="auto"/>
        </w:rPr>
      </w:pPr>
      <w:r>
        <w:rPr>
          <w:rFonts w:ascii="Times New Roman" w:cs="Times New Roman" w:eastAsia="Times New Roman" w:hAnsi="Times New Roman"/>
          <w:sz w:val="17"/>
          <w:szCs w:val="17"/>
          <w:color w:val="auto"/>
        </w:rPr>
        <w:t xml:space="preserve">Other assets as of June 30, 2025 and December 31, 2024, include $1.7 million and $2.6 million, respectively, for the fair value of derivative assets. See Note 5.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Debt,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Watersound Origins Crossings JV Loan</w:t>
            </w:r>
          </w:p>
        </w:tc>
        <w:tc>
          <w:tcPr>
            <w:tcW w:w="120" w:type="dxa"/>
            <w:vAlign w:val="bottom"/>
          </w:tcPr>
          <w:p>
            <w:pPr>
              <w:spacing w:after="0"/>
              <w:rPr>
                <w:sz w:val="15"/>
                <w:szCs w:val="15"/>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 w:type="dxa"/>
            <w:vAlign w:val="bottom"/>
          </w:tcPr>
          <w:p>
            <w:pPr>
              <w:spacing w:after="0"/>
              <w:rPr>
                <w:sz w:val="15"/>
                <w:szCs w:val="15"/>
                <w:color w:val="auto"/>
              </w:rPr>
            </w:pPr>
          </w:p>
        </w:tc>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Terms</w:t>
            </w:r>
          </w:p>
        </w:tc>
        <w:tc>
          <w:tcPr>
            <w:tcW w:w="0" w:type="dxa"/>
            <w:vAlign w:val="bottom"/>
          </w:tcPr>
          <w:p>
            <w:pPr>
              <w:spacing w:after="0"/>
              <w:rPr>
                <w:sz w:val="1"/>
                <w:szCs w:val="1"/>
                <w:color w:val="auto"/>
              </w:rPr>
            </w:pPr>
          </w:p>
        </w:tc>
      </w:tr>
      <w:tr>
        <w:trPr>
          <w:trHeight w:val="169"/>
        </w:trPr>
        <w:tc>
          <w:tcPr>
            <w:tcW w:w="2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(insured by HUD)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2058</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Pier Park Resort Hotel JV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2027</w:t>
            </w:r>
          </w:p>
        </w:tc>
        <w:tc>
          <w:tcPr>
            <w:tcW w:w="150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5"/>
                <w:szCs w:val="15"/>
                <w:color w:val="auto"/>
              </w:rPr>
              <w:t xml:space="preserve">SOFR plus 2.1% </w:t>
            </w:r>
            <w:r>
              <w:rPr>
                <w:rFonts w:ascii="Times New Roman" w:cs="Times New Roman" w:eastAsia="Times New Roman" w:hAnsi="Times New Roman"/>
                <w:sz w:val="22"/>
                <w:szCs w:val="22"/>
                <w:color w:val="auto"/>
                <w:vertAlign w:val="superscript"/>
              </w:rPr>
              <w:t>(a)</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Mexico Beach Crossings JV Loan</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(insured by HUD)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2064</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PPN JV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PPC JV Loan (insured by HUD)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2060</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Pearl Hotel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December 2032</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North Bay Landing Loan (insured by</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Pr>
          <w:p>
            <w:pPr>
              <w:spacing w:after="0" w:line="213" w:lineRule="exact"/>
              <w:rPr>
                <w:sz w:val="20"/>
                <w:szCs w:val="20"/>
                <w:color w:val="auto"/>
              </w:rPr>
            </w:pPr>
            <w:r>
              <w:rPr>
                <w:rFonts w:ascii="Times New Roman" w:cs="Times New Roman" w:eastAsia="Times New Roman" w:hAnsi="Times New Roman"/>
                <w:sz w:val="16"/>
                <w:szCs w:val="16"/>
                <w:color w:val="auto"/>
              </w:rPr>
              <w:t xml:space="preserve">HUD) </w:t>
            </w:r>
            <w:r>
              <w:rPr>
                <w:rFonts w:ascii="Times New Roman" w:cs="Times New Roman" w:eastAsia="Times New Roman" w:hAnsi="Times New Roman"/>
                <w:sz w:val="24"/>
                <w:szCs w:val="24"/>
                <w:color w:val="auto"/>
                <w:vertAlign w:val="superscript"/>
              </w:rPr>
              <w:t>(b)</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2060</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Watersound Camp Creek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December 2047</w:t>
            </w:r>
          </w:p>
        </w:tc>
        <w:tc>
          <w:tcPr>
            <w:tcW w:w="15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SOFR plus 2.1%,</w:t>
            </w:r>
          </w:p>
        </w:tc>
        <w:tc>
          <w:tcPr>
            <w:tcW w:w="0" w:type="dxa"/>
            <w:vAlign w:val="bottom"/>
          </w:tcPr>
          <w:p>
            <w:pPr>
              <w:spacing w:after="0"/>
              <w:rPr>
                <w:sz w:val="1"/>
                <w:szCs w:val="1"/>
                <w:color w:val="auto"/>
              </w:rPr>
            </w:pPr>
          </w:p>
        </w:tc>
      </w:tr>
      <w:tr>
        <w:trPr>
          <w:trHeight w:val="165"/>
        </w:trPr>
        <w:tc>
          <w:tcPr>
            <w:tcW w:w="27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0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5"/>
                <w:szCs w:val="15"/>
                <w:color w:val="auto"/>
              </w:rPr>
              <w:t>floor 2.6%</w:t>
            </w:r>
          </w:p>
        </w:tc>
        <w:tc>
          <w:tcPr>
            <w:tcW w:w="0" w:type="dxa"/>
            <w:vAlign w:val="bottom"/>
          </w:tcPr>
          <w:p>
            <w:pPr>
              <w:spacing w:after="0"/>
              <w:rPr>
                <w:sz w:val="1"/>
                <w:szCs w:val="1"/>
                <w:color w:val="auto"/>
              </w:rPr>
            </w:pPr>
          </w:p>
        </w:tc>
      </w:tr>
      <w:tr>
        <w:trPr>
          <w:trHeight w:val="199"/>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PPC II JV Loan (insured by HUD)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2057</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Hotel Indigo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October 2028</w:t>
            </w:r>
          </w:p>
        </w:tc>
        <w:tc>
          <w:tcPr>
            <w:tcW w:w="15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SOFR plus 2.5%,</w:t>
            </w:r>
          </w:p>
        </w:tc>
        <w:tc>
          <w:tcPr>
            <w:tcW w:w="0" w:type="dxa"/>
            <w:vAlign w:val="bottom"/>
          </w:tcPr>
          <w:p>
            <w:pPr>
              <w:spacing w:after="0"/>
              <w:rPr>
                <w:sz w:val="1"/>
                <w:szCs w:val="1"/>
                <w:color w:val="auto"/>
              </w:rPr>
            </w:pPr>
          </w:p>
        </w:tc>
      </w:tr>
      <w:tr>
        <w:trPr>
          <w:trHeight w:val="165"/>
        </w:trPr>
        <w:tc>
          <w:tcPr>
            <w:tcW w:w="27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0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5"/>
                <w:szCs w:val="15"/>
                <w:color w:val="auto"/>
              </w:rPr>
              <w:t>floor 2.5%</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Watercrest JV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2047</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SOFR plus 2.2%</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Breakfast Point Hotel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November 2042</w:t>
            </w:r>
          </w:p>
        </w:tc>
        <w:tc>
          <w:tcPr>
            <w:tcW w:w="150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5"/>
                <w:szCs w:val="15"/>
                <w:color w:val="auto"/>
              </w:rPr>
              <w:t xml:space="preserve">Fixed </w:t>
            </w:r>
            <w:r>
              <w:rPr>
                <w:rFonts w:ascii="Times New Roman" w:cs="Times New Roman" w:eastAsia="Times New Roman" w:hAnsi="Times New Roman"/>
                <w:sz w:val="22"/>
                <w:szCs w:val="22"/>
                <w:color w:val="auto"/>
                <w:vertAlign w:val="superscript"/>
              </w:rPr>
              <w:t>(c)</w:t>
            </w:r>
          </w:p>
        </w:tc>
        <w:tc>
          <w:tcPr>
            <w:tcW w:w="0" w:type="dxa"/>
            <w:vAlign w:val="bottom"/>
          </w:tcPr>
          <w:p>
            <w:pPr>
              <w:spacing w:after="0"/>
              <w:rPr>
                <w:sz w:val="1"/>
                <w:szCs w:val="1"/>
                <w:color w:val="auto"/>
              </w:rPr>
            </w:pPr>
          </w:p>
        </w:tc>
      </w:tr>
      <w:tr>
        <w:trPr>
          <w:trHeight w:val="199"/>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Lodge 30A JV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January 2028</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Topsail Hotel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July 2027</w:t>
            </w:r>
          </w:p>
        </w:tc>
        <w:tc>
          <w:tcPr>
            <w:tcW w:w="15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SOFR plus 2.1%,</w:t>
            </w:r>
          </w:p>
        </w:tc>
        <w:tc>
          <w:tcPr>
            <w:tcW w:w="0" w:type="dxa"/>
            <w:vAlign w:val="bottom"/>
          </w:tcPr>
          <w:p>
            <w:pPr>
              <w:spacing w:after="0"/>
              <w:rPr>
                <w:sz w:val="1"/>
                <w:szCs w:val="1"/>
                <w:color w:val="auto"/>
              </w:rPr>
            </w:pPr>
          </w:p>
        </w:tc>
      </w:tr>
      <w:tr>
        <w:trPr>
          <w:trHeight w:val="162"/>
        </w:trPr>
        <w:tc>
          <w:tcPr>
            <w:tcW w:w="27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floor 3.0%</w:t>
            </w: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Airport Hotel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 xml:space="preserve">February 2030 </w:t>
            </w:r>
            <w:r>
              <w:rPr>
                <w:rFonts w:ascii="Times New Roman" w:cs="Times New Roman" w:eastAsia="Times New Roman" w:hAnsi="Times New Roman"/>
                <w:sz w:val="24"/>
                <w:szCs w:val="24"/>
                <w:color w:val="auto"/>
                <w:w w:val="99"/>
                <w:vertAlign w:val="superscript"/>
              </w:rPr>
              <w:t>(d)</w:t>
            </w:r>
          </w:p>
        </w:tc>
        <w:tc>
          <w:tcPr>
            <w:tcW w:w="15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SOFR plus 2.1%,</w:t>
            </w:r>
          </w:p>
        </w:tc>
        <w:tc>
          <w:tcPr>
            <w:tcW w:w="0" w:type="dxa"/>
            <w:vAlign w:val="bottom"/>
          </w:tcPr>
          <w:p>
            <w:pPr>
              <w:spacing w:after="0"/>
              <w:rPr>
                <w:sz w:val="1"/>
                <w:szCs w:val="1"/>
                <w:color w:val="auto"/>
              </w:rPr>
            </w:pPr>
          </w:p>
        </w:tc>
      </w:tr>
      <w:tr>
        <w:trPr>
          <w:trHeight w:val="162"/>
        </w:trPr>
        <w:tc>
          <w:tcPr>
            <w:tcW w:w="27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floor 3.0%</w:t>
            </w: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Watersound Town Center Grocery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August 2031</w:t>
            </w:r>
          </w:p>
        </w:tc>
        <w:tc>
          <w:tcPr>
            <w:tcW w:w="15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SOFR plus 2.1%,</w:t>
            </w:r>
          </w:p>
        </w:tc>
        <w:tc>
          <w:tcPr>
            <w:tcW w:w="0" w:type="dxa"/>
            <w:vAlign w:val="bottom"/>
          </w:tcPr>
          <w:p>
            <w:pPr>
              <w:spacing w:after="0"/>
              <w:rPr>
                <w:sz w:val="1"/>
                <w:szCs w:val="1"/>
                <w:color w:val="auto"/>
              </w:rPr>
            </w:pPr>
          </w:p>
        </w:tc>
      </w:tr>
      <w:tr>
        <w:trPr>
          <w:trHeight w:val="165"/>
        </w:trPr>
        <w:tc>
          <w:tcPr>
            <w:tcW w:w="27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0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5"/>
                <w:szCs w:val="15"/>
                <w:color w:val="auto"/>
              </w:rPr>
              <w:t>floor 2.3%</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Beckrich Building III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August 2029</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SOFR plus 1.8%</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2028-May</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Community Development District debt</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2039</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202"/>
        </w:trPr>
        <w:tc>
          <w:tcPr>
            <w:tcW w:w="272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Self-Storage Facility Loan </w:t>
            </w:r>
            <w:r>
              <w:rPr>
                <w:rFonts w:ascii="Times New Roman" w:cs="Times New Roman" w:eastAsia="Times New Roman" w:hAnsi="Times New Roman"/>
                <w:sz w:val="23"/>
                <w:szCs w:val="23"/>
                <w:color w:val="auto"/>
                <w:vertAlign w:val="superscript"/>
              </w:rPr>
              <w:t>(e)</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Beach Homes Loan </w:t>
            </w:r>
            <w:r>
              <w:rPr>
                <w:rFonts w:ascii="Times New Roman" w:cs="Times New Roman" w:eastAsia="Times New Roman" w:hAnsi="Times New Roman"/>
                <w:sz w:val="23"/>
                <w:szCs w:val="23"/>
                <w:color w:val="auto"/>
                <w:vertAlign w:val="superscript"/>
              </w:rPr>
              <w:t>(e)</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Pier Park Outparcel Loan </w:t>
            </w:r>
            <w:r>
              <w:rPr>
                <w:rFonts w:ascii="Times New Roman" w:cs="Times New Roman" w:eastAsia="Times New Roman" w:hAnsi="Times New Roman"/>
                <w:sz w:val="23"/>
                <w:szCs w:val="23"/>
                <w:color w:val="auto"/>
                <w:vertAlign w:val="superscript"/>
              </w:rPr>
              <w:t>(e)</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8"/>
        </w:trPr>
        <w:tc>
          <w:tcPr>
            <w:tcW w:w="272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 xml:space="preserve">WaterColor Crossings Loan </w:t>
            </w:r>
            <w:r>
              <w:rPr>
                <w:rFonts w:ascii="Times New Roman" w:cs="Times New Roman" w:eastAsia="Times New Roman" w:hAnsi="Times New Roman"/>
                <w:sz w:val="24"/>
                <w:szCs w:val="24"/>
                <w:color w:val="auto"/>
                <w:vertAlign w:val="superscript"/>
              </w:rPr>
              <w:t>(e)</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-3743960</wp:posOffset>
            </wp:positionV>
            <wp:extent cx="564896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-3349625</wp:posOffset>
            </wp:positionV>
            <wp:extent cx="564896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-2955290</wp:posOffset>
            </wp:positionV>
            <wp:extent cx="564896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-2698115</wp:posOffset>
            </wp:positionV>
            <wp:extent cx="5648960"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-2235200</wp:posOffset>
            </wp:positionV>
            <wp:extent cx="564896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-1901190</wp:posOffset>
            </wp:positionV>
            <wp:extent cx="5648960"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282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-1644015</wp:posOffset>
            </wp:positionV>
            <wp:extent cx="564896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-1309370</wp:posOffset>
            </wp:positionV>
            <wp:extent cx="564896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20574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-897890</wp:posOffset>
            </wp:positionV>
            <wp:extent cx="5648960"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282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-512445</wp:posOffset>
            </wp:positionV>
            <wp:extent cx="564896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-255270</wp:posOffset>
            </wp:positionV>
            <wp:extent cx="564896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060" w:type="dxa"/>
            <w:vAlign w:val="bottom"/>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9"/>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51,953</w:t>
            </w:r>
          </w:p>
        </w:tc>
        <w:tc>
          <w:tcPr>
            <w:tcW w:w="0" w:type="dxa"/>
            <w:vAlign w:val="bottom"/>
          </w:tcPr>
          <w:p>
            <w:pPr>
              <w:spacing w:after="0"/>
              <w:rPr>
                <w:sz w:val="1"/>
                <w:szCs w:val="1"/>
                <w:color w:val="auto"/>
              </w:rPr>
            </w:pPr>
          </w:p>
        </w:tc>
      </w:tr>
      <w:tr>
        <w:trPr>
          <w:trHeight w:val="216"/>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50,882</w:t>
            </w:r>
          </w:p>
        </w:tc>
        <w:tc>
          <w:tcPr>
            <w:tcW w:w="0" w:type="dxa"/>
            <w:vAlign w:val="bottom"/>
          </w:tcPr>
          <w:p>
            <w:pPr>
              <w:spacing w:after="0"/>
              <w:rPr>
                <w:sz w:val="1"/>
                <w:szCs w:val="1"/>
                <w:color w:val="auto"/>
              </w:rPr>
            </w:pPr>
          </w:p>
        </w:tc>
      </w:tr>
      <w:tr>
        <w:trPr>
          <w:trHeight w:val="405"/>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43,069</w:t>
            </w:r>
          </w:p>
        </w:tc>
        <w:tc>
          <w:tcPr>
            <w:tcW w:w="0" w:type="dxa"/>
            <w:vAlign w:val="bottom"/>
          </w:tcPr>
          <w:p>
            <w:pPr>
              <w:spacing w:after="0"/>
              <w:rPr>
                <w:sz w:val="1"/>
                <w:szCs w:val="1"/>
                <w:color w:val="auto"/>
              </w:rPr>
            </w:pPr>
          </w:p>
        </w:tc>
      </w:tr>
      <w:tr>
        <w:trPr>
          <w:trHeight w:val="208"/>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40,370</w:t>
            </w:r>
          </w:p>
        </w:tc>
        <w:tc>
          <w:tcPr>
            <w:tcW w:w="0" w:type="dxa"/>
            <w:vAlign w:val="bottom"/>
          </w:tcPr>
          <w:p>
            <w:pPr>
              <w:spacing w:after="0"/>
              <w:rPr>
                <w:sz w:val="1"/>
                <w:szCs w:val="1"/>
                <w:color w:val="auto"/>
              </w:rPr>
            </w:pPr>
          </w:p>
        </w:tc>
      </w:tr>
      <w:tr>
        <w:trPr>
          <w:trHeight w:val="203"/>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3.1 %</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34,153</w:t>
            </w:r>
          </w:p>
        </w:tc>
        <w:tc>
          <w:tcPr>
            <w:tcW w:w="0" w:type="dxa"/>
            <w:vAlign w:val="bottom"/>
          </w:tcPr>
          <w:p>
            <w:pPr>
              <w:spacing w:after="0"/>
              <w:rPr>
                <w:sz w:val="1"/>
                <w:szCs w:val="1"/>
                <w:color w:val="auto"/>
              </w:rPr>
            </w:pPr>
          </w:p>
        </w:tc>
      </w:tr>
      <w:tr>
        <w:trPr>
          <w:trHeight w:val="210"/>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34,040</w:t>
            </w:r>
          </w:p>
        </w:tc>
        <w:tc>
          <w:tcPr>
            <w:tcW w:w="0" w:type="dxa"/>
            <w:vAlign w:val="bottom"/>
          </w:tcPr>
          <w:p>
            <w:pPr>
              <w:spacing w:after="0"/>
              <w:rPr>
                <w:sz w:val="1"/>
                <w:szCs w:val="1"/>
                <w:color w:val="auto"/>
              </w:rPr>
            </w:pPr>
          </w:p>
        </w:tc>
      </w:tr>
      <w:tr>
        <w:trPr>
          <w:trHeight w:val="405"/>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22,746</w:t>
            </w:r>
          </w:p>
        </w:tc>
        <w:tc>
          <w:tcPr>
            <w:tcW w:w="0" w:type="dxa"/>
            <w:vAlign w:val="bottom"/>
          </w:tcPr>
          <w:p>
            <w:pPr>
              <w:spacing w:after="0"/>
              <w:rPr>
                <w:sz w:val="1"/>
                <w:szCs w:val="1"/>
                <w:color w:val="auto"/>
              </w:rPr>
            </w:pPr>
          </w:p>
        </w:tc>
      </w:tr>
      <w:tr>
        <w:trPr>
          <w:trHeight w:val="316"/>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27,377</w:t>
            </w:r>
          </w:p>
        </w:tc>
        <w:tc>
          <w:tcPr>
            <w:tcW w:w="0" w:type="dxa"/>
            <w:vAlign w:val="bottom"/>
          </w:tcPr>
          <w:p>
            <w:pPr>
              <w:spacing w:after="0"/>
              <w:rPr>
                <w:sz w:val="1"/>
                <w:szCs w:val="1"/>
                <w:color w:val="auto"/>
              </w:rPr>
            </w:pPr>
          </w:p>
        </w:tc>
      </w:tr>
      <w:tr>
        <w:trPr>
          <w:trHeight w:val="210"/>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21,796</w:t>
            </w:r>
          </w:p>
        </w:tc>
        <w:tc>
          <w:tcPr>
            <w:tcW w:w="0" w:type="dxa"/>
            <w:vAlign w:val="bottom"/>
          </w:tcPr>
          <w:p>
            <w:pPr>
              <w:spacing w:after="0"/>
              <w:rPr>
                <w:sz w:val="1"/>
                <w:szCs w:val="1"/>
                <w:color w:val="auto"/>
              </w:rPr>
            </w:pPr>
          </w:p>
        </w:tc>
      </w:tr>
      <w:tr>
        <w:trPr>
          <w:trHeight w:val="316"/>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19,857</w:t>
            </w:r>
          </w:p>
        </w:tc>
        <w:tc>
          <w:tcPr>
            <w:tcW w:w="0" w:type="dxa"/>
            <w:vAlign w:val="bottom"/>
          </w:tcPr>
          <w:p>
            <w:pPr>
              <w:spacing w:after="0"/>
              <w:rPr>
                <w:sz w:val="1"/>
                <w:szCs w:val="1"/>
                <w:color w:val="auto"/>
              </w:rPr>
            </w:pPr>
          </w:p>
        </w:tc>
      </w:tr>
      <w:tr>
        <w:trPr>
          <w:trHeight w:val="203"/>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6.5 %</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19,555</w:t>
            </w:r>
          </w:p>
        </w:tc>
        <w:tc>
          <w:tcPr>
            <w:tcW w:w="0" w:type="dxa"/>
            <w:vAlign w:val="bottom"/>
          </w:tcPr>
          <w:p>
            <w:pPr>
              <w:spacing w:after="0"/>
              <w:rPr>
                <w:sz w:val="1"/>
                <w:szCs w:val="1"/>
                <w:color w:val="auto"/>
              </w:rPr>
            </w:pPr>
          </w:p>
        </w:tc>
      </w:tr>
      <w:tr>
        <w:trPr>
          <w:trHeight w:val="203"/>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6.0 %</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15,473</w:t>
            </w:r>
          </w:p>
        </w:tc>
        <w:tc>
          <w:tcPr>
            <w:tcW w:w="0" w:type="dxa"/>
            <w:vAlign w:val="bottom"/>
          </w:tcPr>
          <w:p>
            <w:pPr>
              <w:spacing w:after="0"/>
              <w:rPr>
                <w:sz w:val="1"/>
                <w:szCs w:val="1"/>
                <w:color w:val="auto"/>
              </w:rPr>
            </w:pPr>
          </w:p>
        </w:tc>
      </w:tr>
      <w:tr>
        <w:trPr>
          <w:trHeight w:val="210"/>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14,130</w:t>
            </w:r>
          </w:p>
        </w:tc>
        <w:tc>
          <w:tcPr>
            <w:tcW w:w="0" w:type="dxa"/>
            <w:vAlign w:val="bottom"/>
          </w:tcPr>
          <w:p>
            <w:pPr>
              <w:spacing w:after="0"/>
              <w:rPr>
                <w:sz w:val="1"/>
                <w:szCs w:val="1"/>
                <w:color w:val="auto"/>
              </w:rPr>
            </w:pPr>
          </w:p>
        </w:tc>
      </w:tr>
      <w:tr>
        <w:trPr>
          <w:trHeight w:val="324"/>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12,307</w:t>
            </w:r>
          </w:p>
        </w:tc>
        <w:tc>
          <w:tcPr>
            <w:tcW w:w="0" w:type="dxa"/>
            <w:vAlign w:val="bottom"/>
          </w:tcPr>
          <w:p>
            <w:pPr>
              <w:spacing w:after="0"/>
              <w:rPr>
                <w:sz w:val="1"/>
                <w:szCs w:val="1"/>
                <w:color w:val="auto"/>
              </w:rPr>
            </w:pPr>
          </w:p>
        </w:tc>
      </w:tr>
      <w:tr>
        <w:trPr>
          <w:trHeight w:val="324"/>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11,717</w:t>
            </w:r>
          </w:p>
        </w:tc>
        <w:tc>
          <w:tcPr>
            <w:tcW w:w="0" w:type="dxa"/>
            <w:vAlign w:val="bottom"/>
          </w:tcPr>
          <w:p>
            <w:pPr>
              <w:spacing w:after="0"/>
              <w:rPr>
                <w:sz w:val="1"/>
                <w:szCs w:val="1"/>
                <w:color w:val="auto"/>
              </w:rPr>
            </w:pPr>
          </w:p>
        </w:tc>
      </w:tr>
      <w:tr>
        <w:trPr>
          <w:trHeight w:val="316"/>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0" w:type="dxa"/>
            <w:vAlign w:val="bottom"/>
          </w:tcPr>
          <w:p>
            <w:pPr>
              <w:spacing w:after="0"/>
              <w:rPr>
                <w:sz w:val="1"/>
                <w:szCs w:val="1"/>
                <w:color w:val="auto"/>
              </w:rPr>
            </w:pPr>
          </w:p>
        </w:tc>
      </w:tr>
      <w:tr>
        <w:trPr>
          <w:trHeight w:val="210"/>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0" w:type="dxa"/>
            <w:vAlign w:val="bottom"/>
          </w:tcPr>
          <w:p>
            <w:pPr>
              <w:spacing w:after="0"/>
              <w:rPr>
                <w:sz w:val="1"/>
                <w:szCs w:val="1"/>
                <w:color w:val="auto"/>
              </w:rPr>
            </w:pPr>
          </w:p>
        </w:tc>
      </w:tr>
      <w:tr>
        <w:trPr>
          <w:trHeight w:val="397"/>
        </w:trPr>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 to 6.0 %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0" w:type="dxa"/>
            <w:vAlign w:val="bottom"/>
          </w:tcPr>
          <w:p>
            <w:pPr>
              <w:spacing w:after="0"/>
              <w:rPr>
                <w:sz w:val="1"/>
                <w:szCs w:val="1"/>
                <w:color w:val="auto"/>
              </w:rPr>
            </w:pPr>
          </w:p>
        </w:tc>
      </w:tr>
      <w:tr>
        <w:trPr>
          <w:trHeight w:val="203"/>
        </w:trPr>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0" w:type="dxa"/>
            <w:vAlign w:val="bottom"/>
          </w:tcPr>
          <w:p>
            <w:pPr>
              <w:spacing w:after="0"/>
              <w:rPr>
                <w:sz w:val="1"/>
                <w:szCs w:val="1"/>
                <w:color w:val="auto"/>
              </w:rPr>
            </w:pPr>
          </w:p>
        </w:tc>
      </w:tr>
      <w:tr>
        <w:trPr>
          <w:trHeight w:val="203"/>
        </w:trPr>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03"/>
        </w:trPr>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210"/>
        </w:trPr>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2">
            <w:col w:w="5580" w:space="140"/>
            <w:col w:w="329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9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principal outstanding</w:t>
            </w:r>
          </w:p>
        </w:tc>
        <w:tc>
          <w:tcPr>
            <w:tcW w:w="2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432,421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442,716</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20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(4,962)</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427,251</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437,754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1" w:lineRule="exact"/>
        <w:rPr>
          <w:sz w:val="20"/>
          <w:szCs w:val="20"/>
          <w:color w:val="auto"/>
        </w:rPr>
      </w:pPr>
    </w:p>
    <w:p>
      <w:pPr>
        <w:ind w:left="380" w:right="159" w:hanging="330"/>
        <w:spacing w:after="0" w:line="267"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Pier Park Resort Hotel JV entered into an interest rate swap that matures in April 2027 and fixed the variable rate on the notional amount of related debt, initially at $42.0 million, amortizing to $38.7 million at swap maturity, to a rate of 3.2%. See Note 5. </w:t>
      </w:r>
      <w:r>
        <w:rPr>
          <w:rFonts w:ascii="Times New Roman" w:cs="Times New Roman" w:eastAsia="Times New Roman" w:hAnsi="Times New Roman"/>
          <w:sz w:val="16"/>
          <w:szCs w:val="16"/>
          <w:i w:val="1"/>
          <w:iCs w:val="1"/>
          <w:color w:val="auto"/>
        </w:rPr>
        <w:t>Financial Instruments and Fair Value Measurements</w:t>
      </w:r>
      <w:r>
        <w:rPr>
          <w:rFonts w:ascii="Times New Roman" w:cs="Times New Roman" w:eastAsia="Times New Roman" w:hAnsi="Times New Roman"/>
          <w:sz w:val="16"/>
          <w:szCs w:val="16"/>
          <w:color w:val="auto"/>
        </w:rPr>
        <w:t xml:space="preserve"> for additional information.</w:t>
      </w:r>
    </w:p>
    <w:p>
      <w:pPr>
        <w:spacing w:after="0" w:line="1" w:lineRule="exact"/>
        <w:rPr>
          <w:rFonts w:ascii="Times New Roman" w:cs="Times New Roman" w:eastAsia="Times New Roman" w:hAnsi="Times New Roman"/>
          <w:sz w:val="16"/>
          <w:szCs w:val="16"/>
          <w:color w:val="auto"/>
        </w:rPr>
      </w:pPr>
    </w:p>
    <w:p>
      <w:pPr>
        <w:ind w:left="380" w:right="239" w:hanging="330"/>
        <w:spacing w:after="0" w:line="264"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2025, the North Bay Landing Loan was refinanced. The previous loan had an interest rate of SOFR plus 2.5%, with a floor of 3.2% and a maturity date of March 2026.</w:t>
      </w:r>
    </w:p>
    <w:p>
      <w:pPr>
        <w:ind w:left="380" w:right="279" w:hanging="330"/>
        <w:spacing w:after="0" w:line="264"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Breakfast Point Hotel Loan interest rate is fixed through November 2027 and in December 2027 the rate will adjust to the 1-year constant maturity Treasury rate plus 3.3% from December 2027 through November 2042, with a minimum rate of 6.0% throughout the term of the loan.</w:t>
      </w:r>
    </w:p>
    <w:p>
      <w:pPr>
        <w:ind w:left="380" w:hanging="330"/>
        <w:spacing w:after="0"/>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2025, the Airport Hotel Loan maturity date was extended to February 2030.</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half of 2025, the loan was paid in full.</w:t>
      </w:r>
    </w:p>
    <w:p>
      <w:pPr>
        <w:spacing w:after="0" w:line="114"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Company’s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management agreements, construction agreements, improvements, accounts, profits, leases and fixtures (collectively, “Security Interests”). The specific Security Interests vary from loan to loan. As of June 30, 2025, the weighted average</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effective interest rate of total outstanding debt was 4.8%, of which 74.6% includes fixed or swapped interest rates, and the average remaining life was 18.7 years.</w:t>
      </w:r>
    </w:p>
    <w:p>
      <w:pPr>
        <w:spacing w:after="0" w:line="16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2023, the Watersound Origins Crossings JV refinanced into a $52.9 million loan, insured by the U.S. Department of Housing and Urban Development (“HUD”), for a multi-family community located near the entrance to the Watersound Origins residential community (the “Watersound Origins Crossings JV Loan”). The loan provides for monthly payments of principal and interest through maturity in April 2058. The loan includes a prepayment premium due to the lender of 1% - 8% for any principal that is prepaid through April 2033. The loan is secured by the real property and certain other Security Interests.</w:t>
      </w:r>
    </w:p>
    <w:p>
      <w:pPr>
        <w:spacing w:after="0" w:line="187"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 xml:space="preserve">In 2020, the Pier Park Resort Hotel JV entered into a loan with an initial amount of $52.5 million up to a maximum of $60.0 million through additional earn-out requests (the “Pier Park Resort Hotel JV Loan”). The loan was entered into to finance the construction of a hotel in the Pier Park area of Panama City Beach, Florida. The loan provides for monthly principal and interest payments with a final balloon payment at maturity in April 2027. The loan is secured by the real property and certain other Security Interests. In connection with the loan, as guarantors, the Company and the Company’s JV partner entered into a guarantee based on each partner’s ownership interest in favor of the lender, to guarantee the payment and performance of the borrower. As guarantor, the Company’s liability under the Pier Park Resort Hotel JV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amortizing to $38.7 million at swap maturity, to a rate of 3.2%. See Note 5.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 xml:space="preserve"> for additional information.</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2022, the Mexico Beach Crossings JV entered into a $43.5 million loan, insured by HUD, to finance the construction of a multi-family community in Mexico Beach, Florida (the “Mexico Beach Crossings JV Loan”). The loan provides for monthly principal and interest payments through maturity in March 2064. The loan includes a prepayment premium due to the lender of 1% - 9% for any principal that is prepaid through March 2034. The loan is secured by the real property and certain other Security Interests.</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2015, the Pier Park North JV entered into a $48.2 million loan (the “PPN JV Loan”), secured by a first lien on, and Security Interest in, a majority of the Pier Park North JV’s property. The loan provides for principal and interest payments with a final balloon payment at maturity in November 2025. In connection with the loan, the Company entered into a limited guarantee in favor of the lender, based on its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and upon breach of covenants in the security instrument. The Company is in the process of refinancing the PPN JV Loan.</w:t>
      </w:r>
    </w:p>
    <w:p>
      <w:pPr>
        <w:spacing w:after="0" w:line="192"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In 2018, the Pier Park Crossings JV entered into a $36.6 million loan, insured by HUD, as amended, to finance the construction of a multi-family community in Panama City Beach, Florida (the “PPC JV Loan”). The loan provides</w:t>
      </w:r>
    </w:p>
    <w:p>
      <w:pPr>
        <w:jc w:val="both"/>
        <w:ind w:left="60" w:right="199"/>
        <w:spacing w:after="0" w:line="255" w:lineRule="auto"/>
        <w:rPr>
          <w:sz w:val="20"/>
          <w:szCs w:val="20"/>
          <w:color w:val="auto"/>
        </w:rPr>
      </w:pPr>
      <w:r>
        <w:rPr>
          <w:rFonts w:ascii="Times New Roman" w:cs="Times New Roman" w:eastAsia="Times New Roman" w:hAnsi="Times New Roman"/>
          <w:sz w:val="18"/>
          <w:szCs w:val="18"/>
          <w:color w:val="auto"/>
        </w:rPr>
        <w:t>for monthly principal and interest payments through maturity in June 2060. The loan includes a prepayment premium due to the lender of 2% - 8% for any additional principal that is prepaid through August 2031. The loan is secured by the real property and certain other Security Interests.</w:t>
      </w:r>
    </w:p>
    <w:p>
      <w:pPr>
        <w:spacing w:after="0" w:line="18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2022, a wholly-owned subsidiary of the Company entered into a $37.0 million loan, which is guaranteed by the Company, to finance the acquisition of a hotel located on Scenic Highway 30A (“The Pearl Hotel Loan”). The loan provides for monthly principal and interest payments with a final balloon payment at maturity in December 2032. The loan includes a prepayment fee due to the lender of 1% - 3% of the outstanding principal balance if the loan is refinanced with another financial institution through December 2027. The loan is secured by the real property and certain other Security Interests.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2021, a wholly-owned subsidiary of the Company entered into a loan, as amended, to finance the construction of a multi-family community in Panama City, Florida (the “North Bay Landing Loan”). In February 2025, the North Bay Landing Loan was refinanced, which increased the principal amount of the loan to $27.8 million, fixed the interest rate to 5.9% and provides for monthly payments of principal and interest through maturity in March 2060. The refinanced loan terms include a prepayment premium due to the lender of 1% - 10% for any principal that is prepaid through March 2035. The refinanced loan is insured by HUD and is secured by the real property and certain other Security Interests. As of June 30, 2025, the Company incurred $0.6 million of loan costs due to the refinance. The six months ended June 30, 2025 includes a less than $0.1 million loss on early extinguishment of debt related to unamortized debt issuance costs, included within other income, net on the condensed consolidated statements of income.</w:t>
      </w:r>
    </w:p>
    <w:p>
      <w:pPr>
        <w:spacing w:after="0" w:line="188" w:lineRule="exact"/>
        <w:rPr>
          <w:sz w:val="20"/>
          <w:szCs w:val="20"/>
          <w:color w:val="auto"/>
        </w:rPr>
      </w:pPr>
    </w:p>
    <w:p>
      <w:pPr>
        <w:ind w:left="60" w:right="139" w:firstLine="324"/>
        <w:spacing w:after="0" w:line="271" w:lineRule="auto"/>
        <w:rPr>
          <w:sz w:val="20"/>
          <w:szCs w:val="20"/>
          <w:color w:val="auto"/>
        </w:rPr>
      </w:pPr>
      <w:r>
        <w:rPr>
          <w:rFonts w:ascii="Times New Roman" w:cs="Times New Roman" w:eastAsia="Times New Roman" w:hAnsi="Times New Roman"/>
          <w:sz w:val="17"/>
          <w:szCs w:val="17"/>
          <w:color w:val="auto"/>
        </w:rPr>
        <w:t>In 2021, a wholly-owned subsidiary of the Company entered into a $28.0 million loan, which is guaranteed by the Company, to finance the construction of an inn and amenity center near the Watersound Camp Creek residential community (the “Watersound Camp Creek Loan”). The loan provides for monthly principal and interest payments through maturity in December 2047. The loan is secured by the real property and certain other Security Interests. As guarantor, the Company’s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guarantor to abide by or perform any of the covenants, warranties or other certain obligations to be performed on the part of such guarantor.</w:t>
      </w:r>
    </w:p>
    <w:p>
      <w:pPr>
        <w:spacing w:after="0" w:line="17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2022, the Pier Park Crossings Phase II JV refinanced into a $22.9 million loan, insured by HUD, for a multi-family community in Panama City Beach, Florida (the “PPC II JV Loan”). The loan provides for monthly payments of principal and interest through maturity in May 2057. The loan includes a prepayment premium due to the lender of 1% - 7% for any additional principal that is prepaid through May 2032. The loan is secured by the real property and certain other Security Interests.</w:t>
      </w:r>
    </w:p>
    <w:p>
      <w:pPr>
        <w:spacing w:after="0" w:line="183"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In 2021, a wholly-owned subsidiary of the Company entered into a $21.2 million loan, which is guaranteed by the Company, to finance the construction of a hotel in Panama City, Florida (the “Hotel Indigo Loan”). The loan provides for monthly principal and interest payments with a final balloon payment at maturity in October 2028. The loan includes an option for an extension of the maturity date by sixty months, subject to certain conditions, which would provide for continued principal and interest payments with a final balloon payment at the extended maturity date. The loan is secured by the leasehold property and certain other Security Interests.</w:t>
      </w:r>
    </w:p>
    <w:p>
      <w:pPr>
        <w:spacing w:after="0" w:line="18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2019, the Watercrest JV entered into a $22.5 million loan to finance the construction of a senior living facility in Santa Rosa Beach, Florida (the “Watercrest JV Loan”). The loan provides for monthly principal and interest payments through maturity in June 2047. The loan is secured by the real property and certain other Security Interests. In connection with the loan, the Company executed a guarantee in favor of the lender to guarantee the payment and performance of the borrower under the Watercrest JV Loan. The Company’s liability as guarantor under the loan has been reduced to 50% of the outstanding principal balance, which requires the borrower to maintain certain debt service coverage requirements. The Company is the sole guarantor and receives a quarterly fee related to the guarantee from its JV partner based on the JV partner’s ownership percentage.</w:t>
      </w:r>
    </w:p>
    <w:p>
      <w:pPr>
        <w:spacing w:after="0" w:line="19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In 2020, a wholly-owned subsidiary of the Company entered into a $16.8 million loan, which is guaranteed by the Company, to finance the construction of a hotel in the Breakfast Point area of Panama City Beach, Florida (the “Breakfast Point Hotel Loan”). The loan provides for monthly principal and interest payments through maturity in November 2042. The loan includes a prepayment premium due to the lender of 1% of the outstanding principal balance for any additional principal that is prepaid through November 2027. The loan is secured by the real property and certain other Security Interests.</w:t>
      </w:r>
    </w:p>
    <w:p>
      <w:pPr>
        <w:spacing w:after="0" w:line="18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 2021, The Lodge 30A JV entered into a $15.0 million loan to finance the construction of a boutique hotel in Seagrove Beach, Florida (the “Lodge 30A JV Loan”). The loan provides for monthly principal and interest payments with a final balloon payment at maturity in January 2028. The loan is secured by the real property and certain other Security Interests. In connection with the loan, the Company, wholly-owned subsidiaries of the Company and the Company’s JV partner entered into a joint and several payment and performance guarantee in favor of the lender. Upon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reaching a certain debt service coverage ratio for a minimum of twenty-four months, the Company’s liability as guarantor can be reduced to 75% of the outstanding principal amount for a twelve-month period. The debt service coverage ratio will be tested annually thereafter and the Company’s liability can be reduced to 50% in year four and 25% in year five. The Company receives a monthly fee related to the guarantee from its JV partner based on the JV partner’s ownership percentage.</w:t>
      </w:r>
    </w:p>
    <w:p>
      <w:pPr>
        <w:spacing w:after="0" w:line="183"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In 2022, a wholly-owned subsidiary of the Company entered into a $13.7 million loan, which is guaranteed by the Company, to finance the construction of a hotel in Santa Rosa Beach, Florida (the “Topsail Hotel Loan”). The loan provides for interest only payments for the first thirty-six months and principal and interest payments thereafter with a final balloon payment at maturity in July 2027. The loan is secured by the real property and certain other Security Interests.</w:t>
      </w:r>
    </w:p>
    <w:p>
      <w:pPr>
        <w:spacing w:after="0" w:line="164"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In 2020, a wholly-owned subsidiary of the Company entered into a $15.3 million loan, which is guaranteed by the Company, to finance construction of a hotel in Panama City, Florida (the “Airport Hotel Loan”). The loan provided for monthly principal and interest payments with a final balloon payment at maturity. In February 2025, the Airport Hotel Loan maturity date was extended from March 2025 to February 2030. During the six months ended June 30, 2025, the Company incurred less than $0.1 million of additional loan costs due to the modification. The loan is secured by the real property and certain other Security Interests.</w:t>
      </w:r>
    </w:p>
    <w:p>
      <w:pPr>
        <w:spacing w:after="0" w:line="187" w:lineRule="exact"/>
        <w:rPr>
          <w:sz w:val="20"/>
          <w:szCs w:val="20"/>
          <w:color w:val="auto"/>
        </w:rPr>
      </w:pPr>
    </w:p>
    <w:p>
      <w:pPr>
        <w:ind w:left="60" w:right="79" w:firstLine="324"/>
        <w:spacing w:after="0" w:line="274" w:lineRule="auto"/>
        <w:rPr>
          <w:sz w:val="20"/>
          <w:szCs w:val="20"/>
          <w:color w:val="auto"/>
        </w:rPr>
      </w:pPr>
      <w:r>
        <w:rPr>
          <w:rFonts w:ascii="Times New Roman" w:cs="Times New Roman" w:eastAsia="Times New Roman" w:hAnsi="Times New Roman"/>
          <w:sz w:val="17"/>
          <w:szCs w:val="17"/>
          <w:color w:val="auto"/>
        </w:rPr>
        <w:t>In 2021, a wholly-owned subsidiary of the Company entered into a $12.0 million loan, which is guaranteed by the Company, to finance the construction of a building in the Watersound Town Center near the Watersound Origins residential community (the “Watersound Town Center Grocery Loan”). The loan provides for monthly principal and interest payments with a final balloon payment at maturity in August 2031. The loan is secured by the real property and certain other Security Interests. As guarantor, the Company’s liability under the loan is 50% of the outstanding principal amount and will be reduced to 25% of the outstanding principal amount upon reaching a certain debt service coverage ratio.</w:t>
      </w:r>
    </w:p>
    <w:p>
      <w:pPr>
        <w:spacing w:after="0" w:line="173"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2019, a wholly-owned subsidiary of the Company entered into a $5.5 million loan, which is guaranteed by the Company, to finance the construction of an office building in Panama City Beach, Florida (the “Beckrich Building III Loan”). The loan provides for monthly principal and interest payments with a final balloon payment at maturity in August 2029. The loan is secured by the real property and certain other Security Interests.</w:t>
      </w:r>
    </w:p>
    <w:p>
      <w:pPr>
        <w:spacing w:after="0" w:line="180"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Community Development District (“CDD”) bonds financed the construction of infrastructure improvements at some of the Company’s projects. The principal and interest payments on the bonds are paid by assessments on the properties benefited by the improvements financed by the bonds. CDD debt is secured by certain real estate or other collateral. The Company has recorded a liability for CDD debt that is associated with platted property, which is the point at which it becomes fixed and determinable. Additionally, the Company has recorded a liability for the portion of the CDD debt that is associated with unplatted property if it is probable and reasonably estimable that the Company will ultimately be responsible for repayment. The Company’s total CDD debt assigned to property it owns was $8.9 million and $9.6 million as of June 30, 2025 and December 31, 2024, respectively. The Company pays interest on this total outstanding CDD debt.</w:t>
      </w:r>
    </w:p>
    <w:p>
      <w:pPr>
        <w:spacing w:after="0" w:line="192"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 2020, a wholly-owned subsidiary of the Company entered into a $5.8 million loan, to finance the construction of a self-storage facility in Santa Rosa Beach, Florida (the “Self-Storage Facility Loan”). In the first quarter of 2025, the loan was paid in full.</w:t>
      </w:r>
    </w:p>
    <w:p>
      <w:pPr>
        <w:spacing w:after="0" w:line="176"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In 2018, a wholly-owned subsidiary of the Company entered into a $1.7 million loan, to finance the construction of two beach homes located in Panama City Beach, Florida (the “Beach Homes Loan”). In the second quarter of 2025, the loan was paid in full.</w:t>
      </w:r>
    </w:p>
    <w:p>
      <w:pPr>
        <w:spacing w:after="0" w:line="1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2017, a wholly-owned subsidiary of the Company entered into a $1.6 million loan to finance the construction of a commercial leasing property located in Panama City Beach, Florida (the “Pier Park Outparcel Loan”). In the first quarter of 2025, the loan was paid in full.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 2018, a wholly-owned subsidiary of the Company entered into a $1.9 million loan, to finance the construction of a commercial leasing property located in Santa Rosa Beach, Florida (the “WaterColor Crossings Loan”). In the second quarter of 2025, the loan was paid in full.</w:t>
      </w:r>
    </w:p>
    <w:p>
      <w:pPr>
        <w:spacing w:after="0" w:line="176"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financing agreements are subject to various customary debt covenants and as of both June 30, 2025 and December 31, 2024, the Company was in compliance with the financial debt covenants.</w:t>
      </w:r>
    </w:p>
    <w:p>
      <w:pPr>
        <w:spacing w:after="0" w:line="16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property, receivables and inventory that were pledged as collateral related to the Company’s debt agreements, had an approximate carrying amount of $529.5 million. These assets are included within investment in real estate, net, property and equipment, net and other assets on the condensed consolidated balance sheets.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aggregate maturities of debt subsequent to June 30, 2025, for the years ending December 31 are:</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44,403</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69,253</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37,043</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261,865</w:t>
            </w: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432,421</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Accounts Payable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and other liabilities consist of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membership deposits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Advance deposits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 for Senior Notes held by SPE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10"/>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accounts payable and other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60,741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53,969</w:t>
            </w: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Accounts payable as of June 30, 2025 and December 31, 2024, primarily include payables and retainage related to the Company’s development and construction projects.</w:t>
      </w:r>
    </w:p>
    <w:p>
      <w:pPr>
        <w:spacing w:after="0" w:line="162" w:lineRule="exact"/>
        <w:rPr>
          <w:sz w:val="20"/>
          <w:szCs w:val="20"/>
          <w:color w:val="auto"/>
        </w:rPr>
      </w:pPr>
    </w:p>
    <w:p>
      <w:pPr>
        <w:jc w:val="both"/>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Other accrued liabilities include $5.0 million of accrued property taxes as of June 30, 2025, which are generally paid annually in November. As of December 31, 2024, the Company had no accrued property taxes.</w:t>
      </w:r>
    </w:p>
    <w:p>
      <w:pPr>
        <w:spacing w:after="0" w:line="162"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Advance deposits consist of deposits received on hotel rooms and related hospitality activities. Advance deposits are recorded as accounts payable and other liabilities in the condensed consolidated balance sheets without regard to whether they are refundable and are recognized as income at the time the service is provided for the related deposit.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Deferred Revenue</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deferred revenue includes club initiation fees of $45.0 million and $45.9 million, respectively, and other deferred revenue of $15.4 million and $13.4 million,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79" w:firstLine="324"/>
        <w:spacing w:after="0" w:line="312" w:lineRule="auto"/>
        <w:rPr>
          <w:sz w:val="20"/>
          <w:szCs w:val="20"/>
          <w:color w:val="auto"/>
        </w:rPr>
      </w:pPr>
      <w:r>
        <w:rPr>
          <w:rFonts w:ascii="Times New Roman" w:cs="Times New Roman" w:eastAsia="Times New Roman" w:hAnsi="Times New Roman"/>
          <w:sz w:val="17"/>
          <w:szCs w:val="17"/>
          <w:color w:val="auto"/>
        </w:rPr>
        <w:t>Club initiation fees are recognized as revenue over the estimated average duration of membership, which is evaluated periodically. The following table presents the changes in club initiation fees related to contracts with customers: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48,742</w:t>
            </w: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club memberships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from amounts included in contract liability opening balance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(6,730)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current period new memberships</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49,406</w:t>
            </w: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contracted revenue that has not been recognized related to club initiation fees. As of June 30, 2025, remaining performance obligations were $45.0 million, of which the Company expects to recognize as revenue $6.2 million in 2025, $22.5 million in 2026 through 2027, $14.4 million in 2028 through 2029 and $1.9 million thereafter.</w:t>
      </w:r>
    </w:p>
    <w:p>
      <w:pPr>
        <w:spacing w:after="0" w:line="180"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Other deferred revenue as of both June 30, 2025 and December 31, 2024, includes $10.9 million related to a 2006 agreement pursuant to which the Company agreed to sell land to the Florida Department of Transportation. Revenue is recognized when title to a specific parcel is legally transferred.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60" w:right="219" w:firstLine="324"/>
        <w:spacing w:after="0" w:line="312" w:lineRule="auto"/>
        <w:rPr>
          <w:sz w:val="20"/>
          <w:szCs w:val="20"/>
          <w:color w:val="auto"/>
        </w:rPr>
      </w:pPr>
      <w:r>
        <w:rPr>
          <w:rFonts w:ascii="Times New Roman" w:cs="Times New Roman" w:eastAsia="Times New Roman" w:hAnsi="Times New Roman"/>
          <w:sz w:val="17"/>
          <w:szCs w:val="17"/>
          <w:color w:val="auto"/>
        </w:rPr>
        <w:t>Income tax expense (benefit) attributable to income from operations differed from the amount computed by applying the statutory federal income tax rate of 21% as of June 30, 2025 and 2024 to pre-tax income as a result of the following:</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$ 8,342</w:t>
            </w: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$ 6,892</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0"/>
        </w:trPr>
        <w:tc>
          <w:tcPr>
            <w:tcW w:w="20" w:type="dxa"/>
            <w:vAlign w:val="bottom"/>
          </w:tcPr>
          <w:p>
            <w:pPr>
              <w:spacing w:after="0"/>
              <w:rPr>
                <w:sz w:val="16"/>
                <w:szCs w:val="16"/>
                <w:color w:val="auto"/>
              </w:rPr>
            </w:pPr>
          </w:p>
        </w:tc>
        <w:tc>
          <w:tcPr>
            <w:tcW w:w="2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State and local income taxes, net of</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2"/>
        </w:trPr>
        <w:tc>
          <w:tcPr>
            <w:tcW w:w="2660" w:type="dxa"/>
            <w:vAlign w:val="bottom"/>
            <w:gridSpan w:val="3"/>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federal income tax effect </w:t>
            </w:r>
            <w:r>
              <w:rPr>
                <w:rFonts w:ascii="Times New Roman" w:cs="Times New Roman" w:eastAsia="Times New Roman" w:hAnsi="Times New Roman"/>
                <w:sz w:val="26"/>
                <w:szCs w:val="26"/>
                <w:color w:val="auto"/>
                <w:vertAlign w:val="superscript"/>
              </w:rPr>
              <w:t>(a)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60" w:type="dxa"/>
            <w:vAlign w:val="bottom"/>
          </w:tcPr>
          <w:p>
            <w:pPr>
              <w:spacing w:after="0"/>
              <w:rPr>
                <w:sz w:val="21"/>
                <w:szCs w:val="21"/>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related tax credits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98"/>
        </w:trPr>
        <w:tc>
          <w:tcPr>
            <w:tcW w:w="20" w:type="dxa"/>
            <w:vAlign w:val="bottom"/>
          </w:tcPr>
          <w:p>
            <w:pPr>
              <w:spacing w:after="0"/>
              <w:rPr>
                <w:sz w:val="17"/>
                <w:szCs w:val="17"/>
                <w:color w:val="auto"/>
              </w:rPr>
            </w:pPr>
          </w:p>
        </w:tc>
        <w:tc>
          <w:tcPr>
            <w:tcW w:w="2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Nontaxable or nondeductible and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0.3 %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tcPr>
          <w:p>
            <w:pPr>
              <w:spacing w:after="0"/>
              <w:rPr>
                <w:sz w:val="20"/>
                <w:szCs w:val="20"/>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$ 9,949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$ 8,301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(a)</w:t>
        <w:tab/>
        <w:t>State taxes in Florida make up all of the tax effect in this category.</w:t>
      </w:r>
    </w:p>
    <w:p>
      <w:pPr>
        <w:spacing w:after="0" w:line="122"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As of June 30, 2025 and December 31, 2024, the Company had income tax payable of $4.0 million and $1.8 million, respectively, included within accounts payable and other liabilities on the condensed consolidated balance sheets.</w:t>
      </w:r>
    </w:p>
    <w:p>
      <w:pPr>
        <w:spacing w:after="0" w:line="14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general, a valuation allowance is recorded if, based on all available positive and negative evidence, it is more likely than not that some portion or all of the deferred tax assets will not be realized. Realization of the Company’s deferred tax assets is dependent upon the Company generating sufficient taxable income in future years in the appropriate tax jurisdictions to obtain a benefit from the reversal of deductible temporary differences and from loss carryforwards. As of both June 30, 2025 and December 31, 2024, the Company did not have a valuation allowance.</w:t>
      </w:r>
    </w:p>
    <w:p>
      <w:pPr>
        <w:spacing w:after="0" w:line="183"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evaluating the Company's uncertain tax positions and determining its provision for income taxes. The Company regularly assesses the likelihood of adverse outcomes resulting from potential examinations to determine the adequacy of its provision for income taxes and applies a “more-likely-than-not” in determining the financial statement recognition and measurement of a tax position taken or expected to be taken in the tax returns. The Company has not identified any material unrecognized tax benefits as of June 30, 2025 or December 31, 2024.</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(“H.R.1”) was signed into law, which includes significant changes to federal tax law and other regulatory provisions that may impact the Company. The Company is currently evaluating the provisions of the new law and the potential effects on its financial position, results of operations, and cash flows.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w:t>
      </w:r>
    </w:p>
    <w:p>
      <w:pPr>
        <w:spacing w:after="0" w:line="229" w:lineRule="exact"/>
        <w:rPr>
          <w:sz w:val="20"/>
          <w:szCs w:val="20"/>
          <w:color w:val="auto"/>
        </w:rPr>
      </w:pPr>
    </w:p>
    <w:p>
      <w:pPr>
        <w:ind w:left="60" w:right="739" w:firstLine="324"/>
        <w:spacing w:after="0" w:line="282" w:lineRule="auto"/>
        <w:rPr>
          <w:sz w:val="20"/>
          <w:szCs w:val="20"/>
          <w:color w:val="auto"/>
        </w:rPr>
      </w:pPr>
      <w:r>
        <w:rPr>
          <w:rFonts w:ascii="Times New Roman" w:cs="Times New Roman" w:eastAsia="Times New Roman" w:hAnsi="Times New Roman"/>
          <w:sz w:val="18"/>
          <w:szCs w:val="18"/>
          <w:color w:val="auto"/>
        </w:rPr>
        <w:t>Following is a summary of the changes in the balances of accumulated other comprehensive income, which is presented net of tax:</w:t>
      </w:r>
    </w:p>
    <w:p>
      <w:pPr>
        <w:spacing w:after="0" w:line="16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Unrealized</w:t>
      </w:r>
    </w:p>
    <w:p>
      <w:pPr>
        <w:spacing w:after="0" w:line="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Gain (Loss) on</w:t>
      </w:r>
    </w:p>
    <w:tbl>
      <w:tblPr>
        <w:tblLayout w:type="fixed"/>
        <w:tblInd w:w="60" w:type="dxa"/>
        <w:tblCellMar>
          <w:top w:w="0" w:type="dxa"/>
          <w:left w:w="0" w:type="dxa"/>
          <w:bottom w:w="0" w:type="dxa"/>
          <w:right w:w="0" w:type="dxa"/>
        </w:tblCellMar>
      </w:tblPr>
      <w:tr>
        <w:trPr>
          <w:trHeight w:val="145"/>
        </w:trPr>
        <w:tc>
          <w:tcPr>
            <w:tcW w:w="5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3"/>
        </w:trPr>
        <w:tc>
          <w:tcPr>
            <w:tcW w:w="5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as of December 31, 2024</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r>
      <w:tr>
        <w:trPr>
          <w:trHeight w:val="20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as of June 30, 2025</w:t>
            </w:r>
          </w:p>
        </w:tc>
        <w:tc>
          <w:tcPr>
            <w:tcW w:w="7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r>
      <w:tr>
        <w:trPr>
          <w:trHeight w:val="20"/>
        </w:trPr>
        <w:tc>
          <w:tcPr>
            <w:tcW w:w="5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Following is a summary of the tax effects allocated to other comprehensive (loss) income: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1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Tax Benefit</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Net-of-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 unconsolidated affiliate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5"/>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Tax (Expense)</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Net-of-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5"/>
                <w:szCs w:val="15"/>
                <w:color w:val="auto"/>
              </w:rPr>
            </w:pPr>
          </w:p>
        </w:tc>
        <w:tc>
          <w:tcPr>
            <w:tcW w:w="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 unconsolidated affiliate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4"/>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Tax Benefit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Net-of-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unconsolidated joint venture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(921)</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438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6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r>
      <w:tr>
        <w:trPr>
          <w:trHeight w:val="117"/>
        </w:trPr>
        <w:tc>
          <w:tcPr>
            <w:tcW w:w="5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14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Tax (Expense)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Net-of-</w:t>
            </w:r>
          </w:p>
        </w:tc>
      </w:tr>
      <w:tr>
        <w:trPr>
          <w:trHeight w:val="173"/>
        </w:trPr>
        <w:tc>
          <w:tcPr>
            <w:tcW w:w="54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Tax Amount</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unconsolidated joint venture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10"/>
        </w:trPr>
        <w:tc>
          <w:tcPr>
            <w:tcW w:w="5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gain (loss)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r>
      <w:tr>
        <w:trPr>
          <w:trHeight w:val="20"/>
        </w:trPr>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paid dividends of $0.14 and $0.12, respectively, per share on the Company’s common stock for a total of $8.1 million and $7.0 million, respectively. During the six months ended June 30, 2025 and 2024, the Company paid dividends of $0.28 and $0.24, respectively, per share on the Company’s common stock for a total of $16.3 million and $14.0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approved a stock repurchase program (the “Stock Repurchase Program”) pursuant to which the Company is authorized to repurchase shares of its common stock. The program has no expiration date.</w:t>
      </w:r>
    </w:p>
    <w:p>
      <w:pPr>
        <w:spacing w:after="0" w:line="1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2025, the Company repurchased 235,400 shares of its common stock outstanding at an average repurchase price of $44.66, per share, for an aggregate purchase price of $10.5 million, excluding the excise tax on stock repurchases in excess of issuances as a result of the Inflation Reduction Act of 2022 (the “IRA”). During the six months ended June 30, 2025, the Company repurchased 359,014 shares of its common stock outstanding at an average repurchase price of $45.13, per share, for an aggregate purchase price of $16.2 million, excluding the excise tax on stock repurchases in excess of issuances as a result of the IRA. During the three and six months ended June 30, 2024, the Company did not repurchase shares of its common stock outstanding. As of June 30, 2025, the Company had a total authority of $83.8 million available for purchase of shares of its common stock. The Company may repurchase its common stock in open market purchases from time to time, in privately negotiated transactions or otherwise, pursuant to Rule 10b-18 under the Securities Exchange Act of 1934, as amended (the “Exchange Act”). The timing and amount of any additional stock to be repurchased will depend upon a variety of factors. Repurchases may be commenced or suspended at any time or from time to time without prior notice. The Stock Repurchase Program will continue until otherwise modified or terminated by the Company’s Board at any time in its sole discretion.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Employee Compensation</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February 2025, the Company granted 16,076 restricted stock awards to certain employees pursuant to the Company’s 2015 Performance and Equity Incentive Plan (the “2015 Plan”). The restricted stock awards vest in equal annual installments on the first, second and third annual anniversary of the grant date, subject to the recipient’s continued employment through and on the applicable vesting date. In addition, in February 2025, the Company granted 3,332 restricted stock awards to an employee pursuant to the 2015 Plan. The restricted stock awards vest in January 2030, subject to the recipient’s continued employment through and on the applicable vesting date. The weighted average grant date fair value of the restricted stock awards was $46.24 per share.</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February 2024, the Company granted 26,744 restricted stock awards to certain employees pursuant to the 2015 Plan. The restricted stock awards vest in equal annual installments on the first, second and third annual anniversary of the grant date, subject to the recipient’s continued employment through and on the applicable vesting date. During the six months ended June 30, 2025, 8,051 of the restricted shares vested on the first annual anniversary. During the six months ended June 30, 2024, 2,592 of the unvested restricted shares were forfeited due to the recipient’s resignation.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99"/>
        <w:spacing w:after="0" w:line="289" w:lineRule="auto"/>
        <w:rPr>
          <w:sz w:val="20"/>
          <w:szCs w:val="20"/>
          <w:color w:val="auto"/>
        </w:rPr>
      </w:pPr>
      <w:r>
        <w:rPr>
          <w:rFonts w:ascii="Times New Roman" w:cs="Times New Roman" w:eastAsia="Times New Roman" w:hAnsi="Times New Roman"/>
          <w:sz w:val="17"/>
          <w:szCs w:val="17"/>
          <w:color w:val="auto"/>
        </w:rPr>
        <w:t>addition, in February 2024, the Company granted 5,418 restricted stock awards to an employee pursuant to the 2015 Plan. The restricted stock awards vest in January 2030, subject to the recipient’s continued employment through and on the applicable vesting date. The weighted average grant date fair value of the restricted stock awards was $54.16 per share.</w:t>
      </w:r>
    </w:p>
    <w:p>
      <w:pPr>
        <w:spacing w:after="0" w:line="158" w:lineRule="exact"/>
        <w:rPr>
          <w:sz w:val="20"/>
          <w:szCs w:val="20"/>
          <w:color w:val="auto"/>
        </w:rPr>
      </w:pPr>
    </w:p>
    <w:p>
      <w:pPr>
        <w:ind w:left="60" w:right="219" w:firstLine="324"/>
        <w:spacing w:after="0" w:line="274" w:lineRule="auto"/>
        <w:rPr>
          <w:sz w:val="20"/>
          <w:szCs w:val="20"/>
          <w:color w:val="auto"/>
        </w:rPr>
      </w:pPr>
      <w:r>
        <w:rPr>
          <w:rFonts w:ascii="Times New Roman" w:cs="Times New Roman" w:eastAsia="Times New Roman" w:hAnsi="Times New Roman"/>
          <w:sz w:val="17"/>
          <w:szCs w:val="17"/>
          <w:color w:val="auto"/>
        </w:rPr>
        <w:t>In March 2023, the Company granted 12,796 restricted stock awards to certain employees pursuant to the 2015 Plan. The restricted stock awards vest in equal annual installments on the first, second and third annual anniversary of the grant date, subject to the recipient’s continued employment through and on the applicable vesting date. During the six months ended June 30, 2025 and 2024, 3,185 and 3,187, respectively, of the restricted shares vested on the annual anniversaries. During the six months ended June 30, 2024, 3,237 of the unvested restricted shares were forfeited due to the recipient’s resignation. The weighted average grant date fair value of the restricted stock awards was $39.42 per share.</w:t>
      </w:r>
    </w:p>
    <w:p>
      <w:pPr>
        <w:spacing w:after="0" w:line="173"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February 2023, the Company granted 17,943 restricted stock awards to certain employees pursuant to the 2015 Plan. The restricted stock awards vest in equal annual installments on the first, second and third annual anniversary of the grant date, subject to the recipient’s continued employment through and on the applicable vesting date. During the six months ended June 30, 2025 and 2024, 5,979 and 5,982, respectively, of the restricted shares vested on the annual anniversaries. In addition, in February 2023, the Company granted 5,760 restricted stock awards to an employee pursuant to the 2015 Plan. The restricted stock awards vest in January 2030, subject to the recipient’s continued employment through and on the applicable vesting date. The weighted average grant date fair value of the restricted stock awards was $44.30 per share.</w:t>
      </w:r>
    </w:p>
    <w:p>
      <w:pPr>
        <w:spacing w:after="0" w:line="192"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granted 4,361 restricted stock awards to an employee pursuant to the 2015 Plan. The restricted stock awards vest in January 2030, subject to the recipient’s continued employment through and on the applicable vesting date. The weighted average grant date fair value of the restricted stock awards was $55.73 per share.</w:t>
      </w:r>
    </w:p>
    <w:p>
      <w:pPr>
        <w:spacing w:after="0" w:line="17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In February 2022, the Company granted 25,594 restricted stock awards to certain employees pursuant to the 2015 Plan. The restricted stock awards vested in equal annual installments on the first, second and third annual anniversary of the grant date, subject to the recipient’s continued employment through and on the applicable vesting date. During the six months ended June 30, 2025 and 2024, 7,664 and 8,532, respectively, of the restricted shares vested on the annual anniversaries. During the six months ended June 30, 2024, 867 of the unvested restricted shares were forfeited due to the recipient’s resignation. The weighted average grant date fair value of the restricted stock awards was $46.73 per share.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Following is a summary of non-vested restricted share activity: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7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Restricted Shares</w:t>
            </w: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3240" w:type="dxa"/>
            <w:vAlign w:val="bottom"/>
            <w:gridSpan w:val="2"/>
            <w:vMerge w:val="continue"/>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Stock based compensation cost is measured at the grant date based on the fair value of the award and is typically recognized as expense on a straight-line basis over the requisite service period, which is the vesting period. Forfeitures are accounted for as they occur. During both the three months ended June 30, 2025 and 2024 and during both the six months ended June 30, 2025 and 2024, the Company recorded expense of $0.3 million and $0.6 million, respectively, related to restricted stock awards for employee compensation.</w:t>
      </w:r>
    </w:p>
    <w:p>
      <w:pPr>
        <w:spacing w:after="0" w:line="18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unrecognized compensation costs, related to non-vested restricted stock awards were $2.3 million and $2.0 million, respectively. As of June 30, 2025, unrecognized compensation costs will be recognized over a weighted average period of 2.7 years.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Equity Incentive Plan</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13, 2025, at the Company’s annual meeting of stockholders, the Company’s stockholders approved The St. Joe Company 2025 Performance and Equity Incentive Plan (the “2025 Incentive Plan”), as described in the Company’s Definitive Proxy Statement, filed with the SEC on April 1, 2025, to replace the 2015 Plan, effective July 1, 2025. The 2025 Incentive Plan authorizes an aggregate issuance of up to 1,500,000 million shares of common stock, 1,352,215 shares of which remain available for issuance as of July 1, 2025, subject to adjustment, in the form of awards of stock options, restricted stock, restricted stock units, stock bonuses, stock appreciation rights, performance awards and other share-based awards. The Company’s officers, employees, directors and certain consultants are eligible to receive awards under the 2025 Incentive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Revenue Recognition</w:t>
      </w:r>
    </w:p>
    <w:p>
      <w:pPr>
        <w:spacing w:after="0" w:line="229"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Revenue consists primarily of real estate sales, hospitality operations and leasing operations. Taxes collected from customers and remitted to governmental authorities (e.g., sales tax) are excluded from revenue, cost of revenue and expenses. The following represents revenue disaggregated by segment, good or service and timing:</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43,828</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68,746</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71,157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129,082</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98,768</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71,157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129,082</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3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20" w:type="dxa"/>
            <w:vAlign w:val="bottom"/>
          </w:tcPr>
          <w:p>
            <w:pPr>
              <w:spacing w:after="0"/>
              <w:rPr>
                <w:sz w:val="18"/>
                <w:szCs w:val="18"/>
                <w:color w:val="auto"/>
              </w:rPr>
            </w:pPr>
          </w:p>
        </w:tc>
      </w:tr>
      <w:tr>
        <w:trPr>
          <w:trHeight w:val="209"/>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31,731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63,249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111,606</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83,846</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31,731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63,249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111,606</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82,147</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108,382</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111,708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38,005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223,279</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163,198</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111,708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38,005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223,279</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3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68,721</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101,577</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62,546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31,493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199,392</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144,424</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62,546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31,493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199,392</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6"/>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Other Income,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dividend and accretion income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16"/>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 from investments in SPEs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16"/>
        </w:trPr>
        <w:tc>
          <w:tcPr>
            <w:tcW w:w="5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earned on notes receivable and other interest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1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6,847</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incurred for project financing and other interest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(12,638)</w:t>
            </w:r>
          </w:p>
        </w:tc>
      </w:tr>
      <w:tr>
        <w:trPr>
          <w:trHeight w:val="198"/>
        </w:trPr>
        <w:tc>
          <w:tcPr>
            <w:tcW w:w="52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 expense and amortization of discount and issuance costs for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5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Senior Notes issued by SPE</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(2,218)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1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(8,519)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(17,072)</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on contributions to unconsolidated joint ventures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 income from unconsolidated joint ventures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12,771</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Miscellaneous expense, net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r>
      <w:tr>
        <w:trPr>
          <w:trHeight w:val="209"/>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1,995</w:t>
            </w: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Interest, dividend and accretion income includes interest income accrued or received on the Company’s cash, cash equivalents and other investments.</w:t>
      </w:r>
    </w:p>
    <w:p>
      <w:pPr>
        <w:spacing w:after="0" w:line="162" w:lineRule="exact"/>
        <w:rPr>
          <w:sz w:val="20"/>
          <w:szCs w:val="20"/>
          <w:color w:val="auto"/>
        </w:rPr>
      </w:pPr>
    </w:p>
    <w:p>
      <w:pPr>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 xml:space="preserve">Interest income from investments in SPEs primarily includes interest earned on the investments held by Panama City Timber Finance Company, LLC, which is used to pay the interest expense for Senior Notes held by Northwest Florida Timber Finance, LLC. See Note 5.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 xml:space="preserve"> for additional information.</w:t>
      </w:r>
    </w:p>
    <w:p>
      <w:pPr>
        <w:spacing w:after="0" w:line="15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Interest earned on the Company’s notes receivable and other interest includes interest earned on notes receivable and on the Company’s unimproved land contribution to the unconsolidated Latitude Margaritaville Watersound JV as home sales are transacted in the community.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Interest expense includes interest incurred related to the Company’s project financing, Senior Notes issued by Northwest Florida Timber Finance, LLC, CDD debt and finance leases. Interest expense also includes amortization of debt discount and premium and debt issuance costs. Discount and issuance costs for the Senior Notes issued by Northwest Florida Timber Finance, LLC, are amortized based on the effective interest method at an effective rate of 4.9%. See Note 5.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for additional information.</w:t>
      </w:r>
    </w:p>
    <w:p>
      <w:pPr>
        <w:spacing w:after="0" w:line="183"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did not capitalize interest related to projects under development or construction.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 on Contributions to Unconsolidated Joint Ventures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have any gain on contributions to unconsolidated joint ventures during the three months ended June 30, 2025 and 2024. Gain on contributions to unconsolidated joint ventures for each the six months ended June 30, 2025 and 2024, include a gain of less than $0.1 million on additional infrastructure improvements contributed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right="899"/>
        <w:spacing w:after="0" w:line="284" w:lineRule="auto"/>
        <w:rPr>
          <w:sz w:val="20"/>
          <w:szCs w:val="20"/>
          <w:color w:val="auto"/>
        </w:rPr>
      </w:pPr>
      <w:r>
        <w:rPr>
          <w:rFonts w:ascii="Times New Roman" w:cs="Times New Roman" w:eastAsia="Times New Roman" w:hAnsi="Times New Roman"/>
          <w:sz w:val="18"/>
          <w:szCs w:val="18"/>
          <w:color w:val="auto"/>
        </w:rPr>
        <w:t xml:space="preserve">the Company’s unconsolidated Latitude Margaritaville Watersound JV.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 Income from Unconsolidated Joint Ventures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Equity in income from unconsolidated joint ventures includes the Company’s proportionate share of earnings or losses of unconsolidated JVs accounted for using the equity method. Equity in income from unconsolidated joint ventures includes income related to the Latitude Margaritaville Watersound JV of $8.4 million and $6.5 million during the three months ended June 30, 2025 and 2024, respectively, and $21.1 million and $14.8 million during the six months ended June 30, 2025 and 2024, respectively. Equity in income from unconsolidated joint ventures also includes loss related to the Pier Park RI JV of $1.3 million and $0.2 million during the six months ended June 30, 2025 and 2024, respectively. The hotel opened in April 2024. Activity primarily includes start-up, depreciation and interest expenses for the project. Equity in income from unconsolidated joint ventures also includes loss related to the Watersound Fountains Independent Living JV of $1.0 million and $1.1 million during the three months ended June 30, 2025 and 2024, respectively, and $2.0 million and $1.9 million during the six months ended June 30, 2025 and 2024, respectively. The community opened in March 2024 and is currently under lease-up.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Other expense, net primarily includes other income and expense items. Miscellaneous expense, net during the six months ended June 30, 2024, includes $0.5 million net loss on disposal of assets.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conducts primarily all of its business in the following three reportable segments: (1) residential,</w:t>
      </w:r>
    </w:p>
    <w:p>
      <w:pPr>
        <w:spacing w:after="0" w:line="27" w:lineRule="exact"/>
        <w:rPr>
          <w:sz w:val="20"/>
          <w:szCs w:val="20"/>
          <w:color w:val="auto"/>
        </w:rPr>
      </w:pPr>
    </w:p>
    <w:p>
      <w:pPr>
        <w:ind w:left="60" w:right="299" w:hanging="10"/>
        <w:spacing w:after="0" w:line="255"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and (3) commercial. The Company’s reportable segments are strategic business units that offer different products and services. They are each managed separately and decisions about allocations of resources are determined by management based on these strategic business units.</w:t>
      </w:r>
    </w:p>
    <w:p>
      <w:pPr>
        <w:spacing w:after="0" w:line="18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accounting policies of the segments are set forth in Note 2 to the Company’s consolidated financial statements contained in Item 15 of the Company’s Annual Report on Form 10-K for the year ended December 31, 2024. Total revenue represents sales to unaffiliated customers, as reported in the Company’s condensed consolidated statements of income. All significant intercompany transactions have been eliminated in consolidation. The Company uses total segment revenue, gross profit and income before income taxes and non-controlling interest and other qualitative measures for purposes of making decisions about allocating resources to each segment and assessing each segment’s performance, which the Company believes represents current performance measures.</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Company’s President, Chief Executive Officer and Chairman of the Board is the Chief Operating Decision maker (the “CODM”). For the residential, hospitality and commercial segments, the CODM uses segment revenue, gross profit and income before income taxes and non-controlling interest to allocate resources (including employees, property, and financial or capital resources) for each segment predominantly in the annual budget and forecasting process. The CODM considers budget-to-actual variances on a monthly basis for the profit measures when making decisions about allocating capital and personnel to the segments. The CODM also uses segment revenue and gross profit for evaluating product pricing and segment income before income taxes and non-controlling interest to assess the performance for each segment by comparing the results and return on assets of each segment with one another and in the compensation of certain employees.</w:t>
      </w:r>
    </w:p>
    <w:p>
      <w:pPr>
        <w:spacing w:after="0" w:line="188"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allocate income taxes or certain unusual items to segments. In addition, the hospitality and commercial segments have significant noncash depreciation and amortization in reported profit or loss.</w:t>
      </w:r>
    </w:p>
    <w:p>
      <w:pPr>
        <w:spacing w:after="0" w:line="162"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captions entitled “Other” consists of mitigation bank credit sales revenue and cost of revenue; title, real estate brokerage and insurance business revenue and cost of revenue; corporate operating expenses; corporate depreciation and amortization and corporate other income and expense items.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by business segment is as follows: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5"/>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71,081</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111,708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operating revenue</w:t>
            </w: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129,082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111,606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223,279</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199,392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residential revenue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39,104</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hospitality revenue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commercial revenue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Cost of other revenue</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cost of revenue</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73,694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61,835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132,287</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31,977</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gross profit</w:t>
            </w: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55,388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49,771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90,992</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and other operating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corporate and other operating expenses</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13,022</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depreciation, depletion and amortization</w:t>
            </w: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11,986</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24,117</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22,477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income,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(a)</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investment income, net</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(b)</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8,519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Gain on contributions to unconsolidated joint ventures: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gridSpan w:val="2"/>
            <w:vMerge w:val="restart"/>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gain on contributions to unconsolidated joint</w:t>
            </w: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gridSpan w:val="2"/>
            <w:vMerge w:val="continue"/>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ventures</w:t>
            </w:r>
          </w:p>
        </w:tc>
        <w:tc>
          <w:tcPr>
            <w:tcW w:w="4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 income (loss) from unconsolidated joint ventures: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(c)</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(d)</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gridSpan w:val="2"/>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equity in income from unconsolidated joint</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7,547</w:t>
            </w:r>
          </w:p>
        </w:tc>
        <w:tc>
          <w:tcPr>
            <w:tcW w:w="34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5,411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17,705</w:t>
            </w:r>
          </w:p>
        </w:tc>
        <w:tc>
          <w:tcPr>
            <w:tcW w:w="34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12,771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ventures</w:t>
            </w:r>
          </w:p>
        </w:tc>
        <w:tc>
          <w:tcPr>
            <w:tcW w:w="440" w:type="dxa"/>
            <w:vAlign w:val="bottom"/>
            <w:gridSpan w:val="2"/>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300" w:type="dxa"/>
            <w:vAlign w:val="bottom"/>
            <w:gridSpan w:val="2"/>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(c)</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24,525</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51,532</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bscript"/>
              </w:rPr>
              <w:t>Other</w:t>
            </w:r>
            <w:r>
              <w:rPr>
                <w:rFonts w:ascii="Times New Roman" w:cs="Times New Roman" w:eastAsia="Times New Roman" w:hAnsi="Times New Roman"/>
                <w:sz w:val="11"/>
                <w:szCs w:val="11"/>
                <w:color w:val="auto"/>
              </w:rPr>
              <w:t xml:space="preserve"> (a) (b)</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39,723</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32,825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62,199</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50,576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26,274</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51,407</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69,230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59" w:hanging="330"/>
        <w:spacing w:after="0" w:line="269"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income from investments in SPE of $2.0 million in each the three months ended June 30, 2025 and 2024 and $4.0 million in each the six months ended June 30, 2025 and 2024.</w:t>
      </w:r>
    </w:p>
    <w:p>
      <w:pPr>
        <w:ind w:left="380" w:right="119" w:hanging="330"/>
        <w:spacing w:after="0" w:line="264"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expense from investments in SPE of $2.2 million in each the three months ended June 30, 2025 and 2024 and $4.4 million in each the six months ended June 30, 2025 and 2024.</w:t>
      </w:r>
    </w:p>
    <w:p>
      <w:pPr>
        <w:ind w:left="380" w:right="299" w:hanging="330"/>
        <w:spacing w:after="0" w:line="264"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Equity in income from unconsolidated joint ventures includes $8.4 million and $6.5 million for the three months ended June 30, 2025 and 2024, respectively, and $21.1 million and $14.8 million for the six months ended June 30, 2025 and 2024, respectively, related to the Latitude Margaritaville Watersound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15. </w:t>
      </w:r>
      <w:r>
        <w:rPr>
          <w:rFonts w:ascii="Times New Roman" w:cs="Times New Roman" w:eastAsia="Times New Roman" w:hAnsi="Times New Roman"/>
          <w:sz w:val="16"/>
          <w:szCs w:val="16"/>
          <w:i w:val="1"/>
          <w:iCs w:val="1"/>
          <w:color w:val="auto"/>
        </w:rPr>
        <w:t>Other Income, Net</w:t>
      </w:r>
      <w:r>
        <w:rPr>
          <w:rFonts w:ascii="Times New Roman" w:cs="Times New Roman" w:eastAsia="Times New Roman" w:hAnsi="Times New Roman"/>
          <w:sz w:val="16"/>
          <w:szCs w:val="16"/>
          <w:color w:val="auto"/>
        </w:rPr>
        <w:t xml:space="preserve"> for additional information.</w:t>
      </w:r>
    </w:p>
    <w:p>
      <w:pPr>
        <w:ind w:left="380" w:right="79" w:hanging="330"/>
        <w:spacing w:after="0" w:line="268"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six months ended June 30, 2025 and 2024, include $1.3 million and $0.2 million, respectively, of equity in loss from unconsolidated joint ventures related to the Pier Park RI JV. The hotel opened in April 2024 and activity in the current period primarily includes start-up, depreciation and interest expenses for the project. The three months ended June 30, 2025 and 2024, include $1.0 million and $1.1 million, respectively, and the six months ended June 30, 2025 and 2024, include $2.0 million and $1.9 million, respectively, of equity in loss from unconsolidated joint ventures related to the Watersound Fountains Independent Living JV. The community opened in March 2024 and is currently under lease-up.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15. </w:t>
      </w:r>
      <w:r>
        <w:rPr>
          <w:rFonts w:ascii="Times New Roman" w:cs="Times New Roman" w:eastAsia="Times New Roman" w:hAnsi="Times New Roman"/>
          <w:sz w:val="16"/>
          <w:szCs w:val="16"/>
          <w:i w:val="1"/>
          <w:iCs w:val="1"/>
          <w:color w:val="auto"/>
        </w:rPr>
        <w:t>Other Income,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Net </w:t>
      </w:r>
      <w:r>
        <w:rPr>
          <w:rFonts w:ascii="Times New Roman" w:cs="Times New Roman" w:eastAsia="Times New Roman" w:hAnsi="Times New Roman"/>
          <w:sz w:val="16"/>
          <w:szCs w:val="16"/>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Investment in unconsolidated joint ventures: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 in unconsolidated joint ventures</w:t>
            </w: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73,854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66,454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316,817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1,548,402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accrued liability when it is both probable that a material loss has been incurred and the amount of the loss can be reasonably estimated. The Company will evaluate the range of reasonably estimated losses and record an accrued liability based on what it believes to be the minimum amount in the range, unless it believes an amount within the range is a better estimate than any other amount. In such cases, there may be an exposure to loss in excess of the amounts accrued. The Company evaluates quarterly whether further developments could affect the amount of the accrued liability previously established or would make a loss contingency both probable and reasonably estimable.</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 also provides disclosure when it believes it is reasonably possible that a material loss will be incurred or when it believes it is reasonably possible that the amount of a loss will exceed the recorded liability. The Company reviews loss contingencies at least quarterly to determine whether the likelihood of loss has changed and to assess whether a reasonable estimate of the loss or range of loss can be made. This estimated range of possible losses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a variety of litigation, claims, other disputes and governmental proceedings that arise from time to time in the ordinary course of its business, including litigation related to its prior development activities. The Company cannot make assurances that it will be successful in defending these matters. Based on current knowledge, the Company does not believe that loss contingencies arising from pending litigation, claims, other disputes and governmental proceedings, including those described herein, will have a material adverse effect on the consolidated financial position or liquidity of the Company. However, in light of the inherent uncertainties involved in these matters, an adverse outcome in one or more of these matters could be material to the Company’s results of operations or cash flows for any particular reporting period.</w:t>
      </w:r>
    </w:p>
    <w:p>
      <w:pPr>
        <w:spacing w:after="0" w:line="192" w:lineRule="exact"/>
        <w:rPr>
          <w:sz w:val="20"/>
          <w:szCs w:val="20"/>
          <w:color w:val="auto"/>
        </w:rPr>
      </w:pPr>
    </w:p>
    <w:p>
      <w:pPr>
        <w:ind w:left="60" w:right="359"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 range of loss can be reasonably estimated. As assessments and cleanups proceed, these accruals are reviewed and adjusted, if necessary, as additional information becomes available. The Company is in the process of assessing certain properties in regard to the effects, if any, on the environment from the disposal or release of wastes or substances. Management is unable to quantify future rehabilitation costs above present accruals at this time or provide a reasonably estimated range of loss.</w:t>
      </w:r>
    </w:p>
    <w:p>
      <w:pPr>
        <w:spacing w:after="0" w:line="19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Other litigation, claims and disputes, including environmental matters, are pending against the Company. Accrued aggregate liabilities related to the matters described above and other litigation matters were $0.2 million and $0.3 million, respectively, as of June 30, 2025 and December 31, 2024. Significant judgment is required in both the determination of probability and whether the amount of an exposure is reasonably estimable. Due to uncertainties related to these matters, accruals are based only on the information available at the time. As additional information becomes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available, management reassesses potential liabilities related to pending claims and litigation and may revise its previous estimates, which could materially affect the Company’s results of operations for any particular reporting period.</w:t>
      </w:r>
    </w:p>
    <w:p>
      <w:pPr>
        <w:spacing w:after="0" w:line="140"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Company has retained certain self-insurance risks with respect to losses for third party liability and property damage, including its timber assets.</w:t>
      </w:r>
    </w:p>
    <w:p>
      <w:pPr>
        <w:spacing w:after="0" w:line="16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Company was required to provide surety bonds that guarantee completion and maintenance of certain infrastructure in certain development projects and mitigation banks, as well as other financial guarantees of $63.2 million and $53.1 million, respectively, as well as standby letters of credit in the amount of $0.1 million and $0.7 million, respectively, which may potentially result in liability to the Company if certain obligations of the Company are not met.</w:t>
      </w:r>
    </w:p>
    <w:p>
      <w:pPr>
        <w:spacing w:after="0" w:line="183"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 total of $37.3 million, primarily in construction and development related contractual obligations.</w:t>
      </w:r>
    </w:p>
    <w:p>
      <w:pPr>
        <w:spacing w:after="0" w:line="16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2019, the Company’s unconsolidated Pier Park TPS JV, entered into a $14.4 million loan (the “Pier Park TPS JV Loan”). The loan bears interest at SOFR plus 2.6% and provides for monthly principal and interest payments with a final balloon payment at maturity in January 2026. The loan is secured by the real and personal property and certain other Security Interests. In connection with the loan, the Company, a wholly-owned subsidiary of the Company and the Company’s JV partner entered into a joint and several payment and performance guarantee in favor of the lender. The guarantee contains customary provisions providing for full recourse upon the occurrence of certain events. The Pier Park TPS JV entered into an interest rate swap to hedge cash flows tied to changes in the underlying floating interest rate tied to SOFR. The interest rate swap matures in January 2026 and fixed the variable rate on the related debt, initially at $14.4 million to a rate of 5.2%. As of June 30, 2025 and December 31, 2024, $13.0 million and $13.2 million, respectively, was outstanding on the Pier Park TPS JV Loan.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5. </w:t>
      </w:r>
      <w:r>
        <w:rPr>
          <w:rFonts w:ascii="Times New Roman" w:cs="Times New Roman" w:eastAsia="Times New Roman" w:hAnsi="Times New Roman"/>
          <w:sz w:val="18"/>
          <w:szCs w:val="18"/>
          <w:i w:val="1"/>
          <w:iCs w:val="1"/>
          <w:color w:val="auto"/>
        </w:rPr>
        <w:t>Financial Instruments and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for additional information.</w:t>
      </w:r>
    </w:p>
    <w:p>
      <w:pPr>
        <w:spacing w:after="0" w:line="19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2020, the Company’s unconsolidated Latitude Margaritaville Watersound JV, entered into a $45.0 million loan, as amended (the “Latitude Margaritaville Watersound JV Loan”). The loan bears interest at SOFR plus 2.5%, with a floor of 3.0%. The loan provides for monthly interest payments with a final balloon payment at maturity in December 2025, with an option to extend the maturity date by one year, subject to bank approval. The loan is secured by the real and personal property and certain other Security Interests. In connection with the loan, the Company and the Company’s JV partner entered into an unconditional guaranty of completion of certain homes and related improvements in favor of the lender. As of June 30, 2025, there was no balance outstanding on the Latitude Margaritaville Watersound JV Loan. As of December 31, 2024, $41.2 million was outstanding on the Latitude Margaritaville Watersound JV Loan.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2021, the Company’s unconsolidated Watersound Fountains Independent Living JV, entered into a $41.9 million loan (the “Watersound Fountains JV Loan”). The loan bears interest at SOFR plus 2.1%, with a floor of 2.6%. The loan provides for monthly principal and interest payments with a final balloon payment at maturity in April 2026. The loan includes an option for an extension of the maturity date by twelve months, subject to certain conditions, which would provide for continued monthly principal and interest payments with a final balloon payment at the extended maturity date. The loan is secured by the real property and certain other Security Interests. In connection with the loan, the Company executed a guarantee in favor of the lender to guarantee the payment and performance of the borrower under the Watersound Fountains JV Loan. The guarantee contains customary provisions providing for full recourse upon the occurrence of certain events. The Company, as the guarantor, receives a quarterly fee related to the guarantee from its JV partners based on the JV partners’ ownership percentage. As of June 30, 2025 and December 31, 2024, $41.6 million and $41.7 million, respectively, was outstanding on the Watersound Fountains JV Loan.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90"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 2022, the Company’s unconsolidated Electric Cart Watersound JV, entered into a $5.4 million loan (the “Electric Cart Watersound JV Loan”). The loan bears interest at SOFR plus 1.8%, with a floor of 2.1%. The loan provides for monthly principal and interest payments with a final balloon payment at maturity in September 2032. The loan is secured by the real property and certain other Security Interests. In connection with the loan, the Company, a wholly-owned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 xml:space="preserve">subsidiary of the Company and the Electric Cart Watersound JV entered into a joint and several payment and performance guarantee in favor of the lender. After the initial forty-eight months of the loan, the Company’s liability as guarantor under the loan will be reduced to 50% of the outstanding principal balance upon reaching a certain debt service coverage and other conditions. The Company is the sole guarantor and receives a quarterly fee related to the guarantee from its JV partner based on the JV partner’s ownership percentage. As of June 30, 2025 and December 31, 2024, $4.3 million and $4.4 million, respectively, was outstanding on the Electric Cart Watersound JV Loan.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The Company has assessed the need to record a liability for the guarantees related to the Company’s unconsolidated JVs and did not record an obligation as of both June 30, 2025 and December 31, 2024. As of both June 30, 2025 and December 31, 2024, allowance for credit losses related to the contingent aspect of these guarantees, based on historical experience and economic trends, was $0.1 million and is included within accounts payable and other liabilities on the condensed consolidated balance sheets.</w:t>
      </w:r>
    </w:p>
    <w:p>
      <w:pPr>
        <w:spacing w:after="0" w:line="183"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part of a certain sale of forestry land in 2014, the Company generated significant tax gains. The installment note’s structure allowed the Company to defer the resulting federal and state tax liability of $45.6 million until 2029, the maturity date for the installment note. The Company has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the Company, which can be used to pay a portion of the tax liability.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for additional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mitigation bank credits, impact and other fees, property for lease and services to certain unconsolidated JVs. During the three and six months ended June 30, 2025, the Company recognized $0.7 million and $1.6 million, respectively, related to revenue from these transactions. During both the three and six months ended June 30, 2024, the Company recognized $1.5 million, related to revenue from these transactions. As of June 30, 2025 and December 31, 2024, receivables from unconsolidated JVs were $0.4 million and less than $0.1 million, respectively.</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Watersound Management JV provides leasing management services for the Company’s multi-family communities. The Company incurred expense related to these transactions of $0.6 million during each of the three months ended June 30, 2025 and 2024, respectively, and $1.3 million and $1.2 million during the six months ended June 30, 2025 and 2024, respectively.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incurred land development and planning costs reimbursements to the Latitude Margaritaville Watersound JV of $0.6 million and $0.8 million during the three months ended June 30, 2025 and 2024, respectively, and $1.1 million and $1.6 million during the six months ended June 30, 2025 and 2024, respectively, which were primarily included in investment in real estate, net on the condensed consolidated balance sheets. As of June 30, 2025 and December 31, 2024, $0.1 million and $0.5 million, respectively, were payable to the Latitude Margaritaville Watersound JV.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On July 23, 2025, the Company’s Board of Directors declared a cash dividend of $0.14 per share on the Company’s common stock, payable on September 19, 2025, to shareholders of record at the close of business on August 22, 2025.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The statements in this discussion regarding industry outlook, our expectations regarding our future performance, liquidity and capital resources and other non-historical statements are forward-looking statements. These forward-looking statements are subject to risks and uncertainties, including the risks and uncertainties described in “Forward-Looking Statements” below and “Risk Factors” beginning on page 7 of our Annual Report on Form 10-K. Our actual results may differ materially from those contained in or implied by any forward-looking statements. We assume no obligation to revise or publicly release any revision to any forward-looking statements contained in this Quarterly Report on Form 10-Q, unless required by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St. Joe is a diversified real estate development, asset management and operating company with all of its real estate assets and operations in Northwest Florida. We intend to use existing assets for residential, hospitality and commercial ventures. We have significant residential and commercial land-use entitlements. We actively seek higher and better uses for our real estate assets through a range of development activities. As part of our core business strategy, we have created a meaningful portion of our business through JVs. We enter into these arrangements for the purposes of developing real estate and other business activities, which we believe allows us to complement our growth strategy, leverage industry expertise and diversify our business. We may also partner with or explore the sale of discrete assets when we and/or others can better deploy resources. We seek to continue to enhance the value of our owned real estate assets by developing residential, commercial and hospitality projects to meet market demand. Approximately 87% of our real estate is located in Florida’s Bay, Gulf, and Walton counties. Approximately 90% of our real estate land holdings are located within fifteen miles of the Gulf.</w:t>
      </w:r>
    </w:p>
    <w:p>
      <w:pPr>
        <w:spacing w:after="0" w:line="19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believe our present capital structure, liquidity and land provide us with years of opportunities to increase recurring revenue and long-term value for our shareholders. We intend to continue to focus on our core business activity of real estate development, asset management and operations by expanding our portfolio of income producing commercial properties, developing long-term, scalable residential communities and growing our hospitality offerings. We continue to develop a broad range of asset types that we believe will provide acceptable rates of return, grow recurring revenues and support future business. Capital commitments will be funded with cash proceeds from completed projects, existing cash, owned-land, partner capital and financing arrangements. We do not anticipate immediate benefits from investments. Timing of projects may be subject to delays caused by factors beyond our control. We may also choose to operate rather than lease assets, lease rather than sell assets, or sell improved rather than unimproved assets that may delay revenue and profits.</w:t>
      </w:r>
    </w:p>
    <w:p>
      <w:pPr>
        <w:spacing w:after="0" w:line="194"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Our real estate investment strategy focuses on projects that meet long-term risk-adjusted return criteria. Our practice is to only incur such expenditures when our analysis indicates that a project will generate a return equal to or greater than the threshold return over its life.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second quarter of 2025 compared to the second quarter of 2024 include:</w:t>
      </w:r>
    </w:p>
    <w:p>
      <w:pPr>
        <w:spacing w:after="0" w:line="229" w:lineRule="exact"/>
        <w:rPr>
          <w:sz w:val="20"/>
          <w:szCs w:val="20"/>
          <w:color w:val="auto"/>
        </w:rPr>
      </w:pPr>
    </w:p>
    <w:p>
      <w:pPr>
        <w:ind w:left="920" w:right="99" w:hanging="330"/>
        <w:spacing w:after="0" w:line="281"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net income attributable to the Company increased by 20.4% to $29.5 million during the three months ended June 30, 2025, from $24.5 million in the same period in 2024.</w:t>
      </w:r>
    </w:p>
    <w:p>
      <w:pPr>
        <w:spacing w:after="0" w:line="1" w:lineRule="exact"/>
        <w:rPr>
          <w:rFonts w:ascii="Times New Roman" w:cs="Times New Roman" w:eastAsia="Times New Roman" w:hAnsi="Times New Roman"/>
          <w:sz w:val="18"/>
          <w:szCs w:val="18"/>
          <w:color w:val="auto"/>
        </w:rPr>
      </w:pPr>
    </w:p>
    <w:p>
      <w:pPr>
        <w:ind w:left="920" w:right="339" w:hanging="330"/>
        <w:spacing w:after="0" w:line="281"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revenue increased by 15.7% to $129.1 million during the three months ended June 30, 2025, from $111.6 million in the same period in 2024.</w:t>
      </w:r>
    </w:p>
    <w:p>
      <w:pPr>
        <w:spacing w:after="0" w:line="1" w:lineRule="exact"/>
        <w:rPr>
          <w:rFonts w:ascii="Times New Roman" w:cs="Times New Roman" w:eastAsia="Times New Roman" w:hAnsi="Times New Roman"/>
          <w:sz w:val="18"/>
          <w:szCs w:val="18"/>
          <w:color w:val="auto"/>
        </w:rPr>
      </w:pPr>
    </w:p>
    <w:p>
      <w:pPr>
        <w:ind w:left="920" w:right="179" w:hanging="330"/>
        <w:spacing w:after="0" w:line="261"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revenue increased by 27.0% to $43.8 million during the three months ended June 30, 2025, from $34.5 million in the same period in 2024. Homesite closings volume increased by 21.0% to 225 homesites during the three months ended June 30, 2025, from 186 homesites in the same period in 2024. There were 482 homesites placed under contract during the second quarter of 2025.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20" w:right="279" w:hanging="330"/>
        <w:spacing w:after="0" w:line="281"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revenue increased by 10.4% to a quarterly record of $68.8 million during the three months ended June 30, 2025, from $62.3 million in the same period in 2024.</w:t>
      </w:r>
    </w:p>
    <w:p>
      <w:pPr>
        <w:spacing w:after="0" w:line="1" w:lineRule="exact"/>
        <w:rPr>
          <w:rFonts w:ascii="Times New Roman" w:cs="Times New Roman" w:eastAsia="Times New Roman" w:hAnsi="Times New Roman"/>
          <w:sz w:val="18"/>
          <w:szCs w:val="18"/>
          <w:color w:val="auto"/>
        </w:rPr>
      </w:pPr>
    </w:p>
    <w:p>
      <w:pPr>
        <w:ind w:left="920" w:right="139" w:hanging="330"/>
        <w:spacing w:after="0" w:line="282"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revenue increased by 11.5% to a quarterly record of $16.5 million during the three months ended June 30, 2025, from $14.8 million in the same period in 2024.</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2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Throughout the first six months of 2025, we continued to generate positive financial results. While macroeconomic factors such as uncertainty over tariffs, inflation, elevated interest rates and higher insurance costs for consumers and overall consumer confidence, among other things, continued to produce economic headwinds and impacted buyer sentiment, demand across our segments remains strong. We believe this is primarily due to the continued growth of Northwest Florida as a result of increased migration, which we attribute to the region’s high quality of life, natural beauty and outstanding amenities.</w:t>
      </w:r>
    </w:p>
    <w:p>
      <w:pPr>
        <w:spacing w:after="0" w:line="187" w:lineRule="exact"/>
        <w:rPr>
          <w:sz w:val="20"/>
          <w:szCs w:val="20"/>
          <w:color w:val="auto"/>
        </w:rPr>
      </w:pPr>
    </w:p>
    <w:p>
      <w:pPr>
        <w:ind w:left="60" w:right="239" w:firstLine="324"/>
        <w:spacing w:after="0" w:line="277" w:lineRule="auto"/>
        <w:rPr>
          <w:sz w:val="20"/>
          <w:szCs w:val="20"/>
          <w:color w:val="auto"/>
        </w:rPr>
      </w:pPr>
      <w:r>
        <w:rPr>
          <w:rFonts w:ascii="Times New Roman" w:cs="Times New Roman" w:eastAsia="Times New Roman" w:hAnsi="Times New Roman"/>
          <w:sz w:val="17"/>
          <w:szCs w:val="17"/>
          <w:color w:val="auto"/>
        </w:rPr>
        <w:t>Despite the strong demand across our segments, we also continue to feel the impact from the aforementioned macroeconomic factors. While elevated interest rates and higher insurance costs have negatively impacted buyers’ ability to obtain financing and the housing market generally, the impact has been offset by the net migration into our markets, limited housing supply relative to demand and the number of cash buyers. Market conditions have also not caused an increase in cancellation rates as homebuilders have continued to perform on their contractual obligations with us.</w:t>
      </w:r>
    </w:p>
    <w:p>
      <w:pPr>
        <w:spacing w:after="0" w:line="168"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Given our diverse portfolio of residential holdings, the mix of sales and pricing from different communities may impact revenue and margins period over period, as discussed in more detail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We conduct primarily all of our business in the following three reportable segments: (1) residential, (2) hospitality and (3) commercial.</w:t>
      </w:r>
    </w:p>
    <w:p>
      <w:pPr>
        <w:spacing w:after="0" w:line="16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relative contribution of these reportable segments to our consolidated operating revenue: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36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3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Revenue</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29.5 %</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28.4 %</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31.9 %</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31.4 %</w:t>
            </w: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55.1 %</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56.7 %</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50.0 %</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51.8 %</w:t>
            </w: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14.4 %</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13.8 %</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17.0 %</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1.0 %</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1.1 %</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operating revenue</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4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more information regarding our reportable segments see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residential segment typically plans and develops residential communities of various sizes across a wide range of price points and sells homesites to homebuilders or retail consumers. Our residential segment also evaluates opportunities to enter into JV agreements for specific communities such as Latitude Margaritaville Watersound.</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residential segment generates revenue from sales of homesites, homes and other residential land and certain homesite residuals from homebuilder sales that provide us a percentage of the sale price of the completed home if the home price exceeds a negotiated threshold. Revenue is recognized at the point in time when a sale is closed and title and control have been transferred to the buyer. The residential segment also generates revenue from the sale of tap and impact fee credits, marketing fees and other fees on certain transactions. Certain homesite residuals and other revenue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639"/>
        <w:spacing w:after="0" w:line="266" w:lineRule="auto"/>
        <w:rPr>
          <w:sz w:val="20"/>
          <w:szCs w:val="20"/>
          <w:color w:val="auto"/>
        </w:rPr>
      </w:pPr>
      <w:r>
        <w:rPr>
          <w:rFonts w:ascii="Times New Roman" w:cs="Times New Roman" w:eastAsia="Times New Roman" w:hAnsi="Times New Roman"/>
          <w:sz w:val="18"/>
          <w:szCs w:val="18"/>
          <w:color w:val="auto"/>
        </w:rPr>
        <w:t>related to homebuilder homesite sales are recognized in revenue at the point in time of the closing of the sale. The residential segment incurs costs from direct costs (e.g., development and construction costs), selling costs and other indirect costs.</w:t>
      </w:r>
    </w:p>
    <w:p>
      <w:pPr>
        <w:spacing w:after="0" w:line="176" w:lineRule="exact"/>
        <w:rPr>
          <w:sz w:val="20"/>
          <w:szCs w:val="20"/>
          <w:color w:val="auto"/>
        </w:rPr>
      </w:pPr>
    </w:p>
    <w:p>
      <w:pPr>
        <w:ind w:left="60" w:right="319" w:firstLine="324"/>
        <w:spacing w:after="0" w:line="277" w:lineRule="auto"/>
        <w:rPr>
          <w:sz w:val="20"/>
          <w:szCs w:val="20"/>
          <w:color w:val="auto"/>
        </w:rPr>
      </w:pPr>
      <w:r>
        <w:rPr>
          <w:rFonts w:ascii="Times New Roman" w:cs="Times New Roman" w:eastAsia="Times New Roman" w:hAnsi="Times New Roman"/>
          <w:sz w:val="17"/>
          <w:szCs w:val="17"/>
          <w:color w:val="auto"/>
        </w:rPr>
        <w:t>Our residential segment includes the Watersound Origins, Watersound Origins West, Watersound Camp Creek, Breakfast Point East, Titus Park, Bayside at Ward Creek, Breakwater at Ward Creek, Salt Grass at Ward Creek, College Station, Park Place, Salt Creek at Mexico Beach, and WindMark Beach communities, which are large scale, multi-phase communities with current development activity, sales activity or future phases. Homesites in these communities are developed based on market demand and sold primarily to homebuilders and on a limited basis to retail customers.</w:t>
      </w:r>
    </w:p>
    <w:p>
      <w:pPr>
        <w:spacing w:after="0" w:line="168"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East Lake Creek, East Lake Powell, Lake Powell, Pigeon Creek, Teachee, West Bay Creek and West Laird communities have phases of homesites in preliminary planning or permitting. Homesites in these communities will be developed based on market demand.</w:t>
      </w:r>
    </w:p>
    <w:p>
      <w:pPr>
        <w:spacing w:after="0" w:line="1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SummerCamp Beach community has homesites available for sale and along with the RiverCamps and SouthWood communities, have additional lands for future development.</w:t>
      </w:r>
    </w:p>
    <w:p>
      <w:pPr>
        <w:spacing w:after="0" w:line="16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Latitude Margaritaville Watersound community is a planned 55+ active adult residential community in Bay County, Florida. The community is located near the Intracoastal Waterway with convenient access to the Northwest Florida Beaches International Airport. The community is being developed through our unconsolidated Latitude Margaritaville Watersound JV with our partner Minto Communities USA, a homebuilder and community developer, and is estimated to include approximately 3,500 residential homes, which are being developed in smaller increments of discrete neighborhoods. As of June 30, 2025, the unconsolidated Latitude Margaritaville Watersound JV had completed 1,992 home sale transactions of the total estimated 3,500 homes planned in the community and had 216 homes under contract, which are expected to result in a sales value to the JV of approximately $129.4 million at closing of the homes.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residential homesite pipeline by community/project is as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Residential Homesite Pipeline </w:t>
            </w:r>
            <w:r>
              <w:rPr>
                <w:rFonts w:ascii="Times New Roman" w:cs="Times New Roman" w:eastAsia="Times New Roman" w:hAnsi="Times New Roman"/>
                <w:sz w:val="21"/>
                <w:szCs w:val="21"/>
                <w:b w:val="1"/>
                <w:bCs w:val="1"/>
                <w:color w:val="auto"/>
                <w:vertAlign w:val="superscript"/>
              </w:rPr>
              <w:t>(a)</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Platted or</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Engineering</w:t>
            </w:r>
          </w:p>
        </w:tc>
        <w:tc>
          <w:tcPr>
            <w:tcW w:w="126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Community/Project</w:t>
            </w: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1160" w:type="dxa"/>
            <w:vAlign w:val="bottom"/>
            <w:gridSpan w:val="2"/>
            <w:vMerge w:val="continue"/>
          </w:tcPr>
          <w:p>
            <w:pPr>
              <w:spacing w:after="0"/>
              <w:rPr>
                <w:sz w:val="12"/>
                <w:szCs w:val="12"/>
                <w:color w:val="auto"/>
              </w:rPr>
            </w:pPr>
          </w:p>
        </w:tc>
        <w:tc>
          <w:tcPr>
            <w:tcW w:w="12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Entitlements with</w:t>
            </w:r>
          </w:p>
        </w:tc>
        <w:tc>
          <w:tcPr>
            <w:tcW w:w="6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gridSpan w:val="3"/>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 Permitting</w:t>
            </w:r>
          </w:p>
        </w:tc>
        <w:tc>
          <w:tcPr>
            <w:tcW w:w="12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Concept Plan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5"/>
                <w:szCs w:val="15"/>
                <w:color w:val="auto"/>
              </w:rPr>
              <w:t xml:space="preserve">Breakfast Point East </w:t>
            </w:r>
            <w:r>
              <w:rPr>
                <w:rFonts w:ascii="Times New Roman" w:cs="Times New Roman" w:eastAsia="Times New Roman" w:hAnsi="Times New Roman"/>
                <w:sz w:val="22"/>
                <w:szCs w:val="22"/>
                <w:color w:val="auto"/>
                <w:vertAlign w:val="superscript"/>
              </w:rPr>
              <w:t>(b)</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College Station</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East Lake Creek </w:t>
            </w:r>
            <w:r>
              <w:rPr>
                <w:rFonts w:ascii="Times New Roman" w:cs="Times New Roman" w:eastAsia="Times New Roman" w:hAnsi="Times New Roman"/>
                <w:sz w:val="23"/>
                <w:szCs w:val="23"/>
                <w:color w:val="auto"/>
                <w:vertAlign w:val="superscript"/>
              </w:rPr>
              <w:t>(b)</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East Lake Powell </w:t>
            </w:r>
            <w:r>
              <w:rPr>
                <w:rFonts w:ascii="Times New Roman" w:cs="Times New Roman" w:eastAsia="Times New Roman" w:hAnsi="Times New Roman"/>
                <w:sz w:val="23"/>
                <w:szCs w:val="23"/>
                <w:color w:val="auto"/>
                <w:vertAlign w:val="superscript"/>
              </w:rPr>
              <w:t>(c)</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360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Lake Powell </w:t>
            </w:r>
            <w:r>
              <w:rPr>
                <w:rFonts w:ascii="Times New Roman" w:cs="Times New Roman" w:eastAsia="Times New Roman" w:hAnsi="Times New Roman"/>
                <w:sz w:val="23"/>
                <w:szCs w:val="23"/>
                <w:color w:val="auto"/>
                <w:vertAlign w:val="superscript"/>
              </w:rPr>
              <w:t>(d)</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Latitude Margaritaville Watersound </w:t>
            </w:r>
            <w:r>
              <w:rPr>
                <w:rFonts w:ascii="Times New Roman" w:cs="Times New Roman" w:eastAsia="Times New Roman" w:hAnsi="Times New Roman"/>
                <w:sz w:val="23"/>
                <w:szCs w:val="23"/>
                <w:color w:val="auto"/>
                <w:vertAlign w:val="superscript"/>
              </w:rPr>
              <w:t>(d) (e)</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Salt Creek at Mexico Beach </w:t>
            </w:r>
            <w:r>
              <w:rPr>
                <w:rFonts w:ascii="Times New Roman" w:cs="Times New Roman" w:eastAsia="Times New Roman" w:hAnsi="Times New Roman"/>
                <w:sz w:val="23"/>
                <w:szCs w:val="23"/>
                <w:color w:val="auto"/>
                <w:vertAlign w:val="superscript"/>
              </w:rPr>
              <w:t>(b)</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Salt Creek at Mexico Beach Townhomes </w:t>
            </w:r>
            <w:r>
              <w:rPr>
                <w:rFonts w:ascii="Times New Roman" w:cs="Times New Roman" w:eastAsia="Times New Roman" w:hAnsi="Times New Roman"/>
                <w:sz w:val="23"/>
                <w:szCs w:val="23"/>
                <w:color w:val="auto"/>
                <w:vertAlign w:val="superscript"/>
              </w:rPr>
              <w:t>(b)</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Park Place</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Pigeon Creek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3,330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RiverCamps </w:t>
            </w:r>
            <w:r>
              <w:rPr>
                <w:rFonts w:ascii="Times New Roman" w:cs="Times New Roman" w:eastAsia="Times New Roman" w:hAnsi="Times New Roman"/>
                <w:sz w:val="23"/>
                <w:szCs w:val="23"/>
                <w:color w:val="auto"/>
                <w:vertAlign w:val="superscript"/>
              </w:rPr>
              <w:t>(c)</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SouthWood </w:t>
            </w:r>
            <w:r>
              <w:rPr>
                <w:rFonts w:ascii="Times New Roman" w:cs="Times New Roman" w:eastAsia="Times New Roman" w:hAnsi="Times New Roman"/>
                <w:sz w:val="23"/>
                <w:szCs w:val="23"/>
                <w:color w:val="auto"/>
                <w:vertAlign w:val="superscript"/>
              </w:rPr>
              <w:t>(f)</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Leon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SummerCamp Beach </w:t>
            </w:r>
            <w:r>
              <w:rPr>
                <w:rFonts w:ascii="Times New Roman" w:cs="Times New Roman" w:eastAsia="Times New Roman" w:hAnsi="Times New Roman"/>
                <w:sz w:val="23"/>
                <w:szCs w:val="23"/>
                <w:color w:val="auto"/>
                <w:vertAlign w:val="superscript"/>
              </w:rPr>
              <w:t>(b)</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Franklin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Teachee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1,644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Titus Park</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Bayside at Ward Creek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Breakwater at Ward Creek </w:t>
            </w:r>
            <w:r>
              <w:rPr>
                <w:rFonts w:ascii="Times New Roman" w:cs="Times New Roman" w:eastAsia="Times New Roman" w:hAnsi="Times New Roman"/>
                <w:sz w:val="23"/>
                <w:szCs w:val="23"/>
                <w:color w:val="auto"/>
                <w:vertAlign w:val="superscript"/>
              </w:rPr>
              <w:t>(d)</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Salt Grass at Ward Creek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Camp Creek </w:t>
            </w:r>
            <w:r>
              <w:rPr>
                <w:rFonts w:ascii="Times New Roman" w:cs="Times New Roman" w:eastAsia="Times New Roman" w:hAnsi="Times New Roman"/>
                <w:sz w:val="23"/>
                <w:szCs w:val="23"/>
                <w:color w:val="auto"/>
                <w:vertAlign w:val="superscript"/>
              </w:rPr>
              <w:t>(f)</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Walton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Origins </w:t>
            </w:r>
            <w:r>
              <w:rPr>
                <w:rFonts w:ascii="Times New Roman" w:cs="Times New Roman" w:eastAsia="Times New Roman" w:hAnsi="Times New Roman"/>
                <w:sz w:val="23"/>
                <w:szCs w:val="23"/>
                <w:color w:val="auto"/>
                <w:vertAlign w:val="superscript"/>
              </w:rPr>
              <w:t>(f)</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Walton County, FL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Origins West </w:t>
            </w:r>
            <w:r>
              <w:rPr>
                <w:rFonts w:ascii="Times New Roman" w:cs="Times New Roman" w:eastAsia="Times New Roman" w:hAnsi="Times New Roman"/>
                <w:sz w:val="23"/>
                <w:szCs w:val="23"/>
                <w:color w:val="auto"/>
                <w:vertAlign w:val="superscript"/>
              </w:rPr>
              <w:t>(d)</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Walton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2,759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0" w:type="dxa"/>
            <w:vAlign w:val="bottom"/>
          </w:tcPr>
          <w:p>
            <w:pPr>
              <w:spacing w:after="0"/>
              <w:rPr>
                <w:sz w:val="1"/>
                <w:szCs w:val="1"/>
                <w:color w:val="auto"/>
              </w:rPr>
            </w:pPr>
          </w:p>
        </w:tc>
      </w:tr>
      <w:tr>
        <w:trPr>
          <w:trHeight w:val="203"/>
        </w:trPr>
        <w:tc>
          <w:tcPr>
            <w:tcW w:w="32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West Bay Creek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5,250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West Laird </w:t>
            </w:r>
            <w:r>
              <w:rPr>
                <w:rFonts w:ascii="Times New Roman" w:cs="Times New Roman" w:eastAsia="Times New Roman" w:hAnsi="Times New Roman"/>
                <w:sz w:val="23"/>
                <w:szCs w:val="23"/>
                <w:color w:val="auto"/>
                <w:vertAlign w:val="superscript"/>
              </w:rPr>
              <w:t>(d)</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WindMark Beach </w:t>
            </w:r>
            <w:r>
              <w:rPr>
                <w:rFonts w:ascii="Times New Roman" w:cs="Times New Roman" w:eastAsia="Times New Roman" w:hAnsi="Times New Roman"/>
                <w:sz w:val="23"/>
                <w:szCs w:val="23"/>
                <w:color w:val="auto"/>
                <w:vertAlign w:val="superscript"/>
              </w:rPr>
              <w:t>(f)</w:t>
            </w:r>
          </w:p>
        </w:tc>
        <w:tc>
          <w:tcPr>
            <w:tcW w:w="15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Gulf County, FL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329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Homesites</w:t>
            </w:r>
          </w:p>
        </w:tc>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1,844</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4,059</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18,375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24,278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80" w:right="319" w:hanging="330"/>
        <w:spacing w:after="0" w:line="267" w:lineRule="auto"/>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homesites are preliminary and are subject to change. Includes homesites platted or currently in concept planning, engineering, permitting or development. We have significant additional entitlements for future residential homesites on our land holdings.</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Unit Development (“PUD”).</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Agreement (“DA”).</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Specific Area Plan (“DSAP”).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unconsolidated Latitude Margaritaville Watersound JV builds and sells homes in this community.</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Regional Impact (“DRI”).</w:t>
      </w:r>
    </w:p>
    <w:p>
      <w:pPr>
        <w:spacing w:after="0" w:line="22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communities listed above, we have a number of other residential project concepts in various stages of planning and evaluation.</w:t>
      </w:r>
    </w:p>
    <w:p>
      <w:pPr>
        <w:spacing w:after="0" w:line="16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As of June 30, 2025, we had nineteen different homebuilders within our residential communities. As of June 30, 2025, we had 1,209 residential homesites under contract, which are expected to result in revenue of approximately $121.7 million, plus residuals, at closing of the homesites over the next several years. By comparison, as of June 30, 2024, we had 1,303 residential homesites under contract, with an expected revenue of approximately $114.0 million, plus residuals. The change in homesites under contract is due to homesite transactions since the end of the prior period, new contracts and the amount of remaining homesites in current phases of the residential communities. Homesite prices vary significantly by community and often sell in concentrated transactions that may impact period over period results. As of June 30, 2025, in addition to the 1,209 homesites under contract in other residential communities, our unconsolidated Latitude Margaritaville Watersound JV had 216 homes under contract, which together with the 1,209 homesites are expected to result in a sales value of approximately $251.2 million at closing of the homesites and homes.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Hospitality Segment</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hospitality segment features a private membership club (the “Watersound Club”), hotel operations, food and beverage operations, golf courses, beach clubs, retail outlets, gulf-front vacation rentals, marinas and other entertainment assets. The hospitality segment generates revenue from membership sales, golf courses, lodging at our hotels, short-term vacation rentals, food and beverage operations, merchandise sales, marina operations (including boat slip rentals, boat storage fees and fuel sales), other resort and entertainment activities and beach clubs, which includes food and beverage operations of the WaterColor Beach Club. Hospitality revenue is generally recognized at the point in time services are provided and represent a single performance obligation with a fixed transaction price. Hospitality revenue recognized over time includes non-refundable club membership initiation fees, club membership dues and other membership fees. The hospitality segment incurs costs from the services and goods provided, personnel costs, maintenance of the facilities and holding costs of the assets. From time to time, we may explore the sale of certain hospitality properties, the development of new hospitality properties, as well as new entertainment and management opportunities. Our hospitality segment may also generate revenue from the sale of operating properties. Real estate sales in our hospitality segment incur costs of revenue directly associated with the land, development, construction and selling costs. Some of our JV assets and other assets incur interest and financing expenses related to the loans as described in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Watersound Club provides club members access to our member facilities, which include the Watersound Beach Club, Camp Creek golf course and amenities, Shark’s Tooth golf course and tennis center and The Third golf course, which opened in November 2024. In addition, in June 2024, we opened The Sporting Preserve, a 12-stand sporting clays course. Watersound Club offers different types of club memberships, each with different access rights and associated fee structures. Watersound Club is focused on creating an outstanding membership experience combined with the luxurious aspects of a destination resort. Watersound Beach Club located on Scenic Highway 30A with over one mile of Gulf frontage, has two resort-style pools, two restaurants, three bars, kid’s room and a recreation area. Camp Creek includes an 18-hole golf course, a full club house, health and wellness center, three restaurants, a tennis and pickle ball center, a resort-style pool complex with separate adult pool, a golf teaching academy, pro shop and multi-sport fields. Shark’s Tooth includes an 18-hole golf course, tennis center, a full club house, a pro shop, as well as two food and beverage outlets. The Third includes an 18-hole golf course. Guests of some of our hotels also have access to certain Watersound Club amenities.</w:t>
      </w:r>
    </w:p>
    <w:p>
      <w:pPr>
        <w:spacing w:after="0" w:line="182" w:lineRule="exact"/>
        <w:rPr>
          <w:sz w:val="20"/>
          <w:szCs w:val="20"/>
          <w:color w:val="auto"/>
        </w:rPr>
      </w:pPr>
    </w:p>
    <w:p>
      <w:pPr>
        <w:ind w:left="60" w:right="119" w:firstLine="369"/>
        <w:spacing w:after="0" w:line="261" w:lineRule="auto"/>
        <w:rPr>
          <w:sz w:val="20"/>
          <w:szCs w:val="20"/>
          <w:color w:val="auto"/>
        </w:rPr>
      </w:pPr>
      <w:r>
        <w:rPr>
          <w:rFonts w:ascii="Times New Roman" w:cs="Times New Roman" w:eastAsia="Times New Roman" w:hAnsi="Times New Roman"/>
          <w:sz w:val="18"/>
          <w:szCs w:val="18"/>
          <w:color w:val="auto"/>
        </w:rPr>
        <w:t>Watersound Origins amenities include a resort-style pool, fitness center, pickle ball courts and tennis courts located in the community. Access to these amenities is reserved to Watersound Origins and Watersound Origins West members consisting of the communities’ residents. In addition, an executive golf course located in the community is available to residents and for public play.</w:t>
      </w:r>
    </w:p>
    <w:p>
      <w:pPr>
        <w:spacing w:after="0" w:line="18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own and operate the award-winning WaterColor Inn (which includes the Fish Out of Water restaurant) and The Pearl Hotel (which includes the Havana Beach Bar &amp; Grill restaurant); the Camp Creek Inn, the Hilton Garden Inn Panama City Airport, the Homewood Suites by Hilton Panama City Beach, the Hotel Indigo Panama City Marina, the Home2 Suites by Hilton Santa Rosa Beach, the Watersound Inn and two gulf-front vacation rental houses. With our JV partners, we own and operate The Lodge 30A and the Embassy Suites by Hilton Panama City Beach Resort. We also operate the WaterColor Beach Club, which includes food and beverage operations and other hospitality related activities, such as beach chair rentals.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hotel portfolio by property is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76"/>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Hotel</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xml:space="preserve">Rooms </w:t>
            </w:r>
            <w:r>
              <w:rPr>
                <w:rFonts w:ascii="Times New Roman" w:cs="Times New Roman" w:eastAsia="Times New Roman" w:hAnsi="Times New Roman"/>
                <w:sz w:val="24"/>
                <w:szCs w:val="24"/>
                <w:b w:val="1"/>
                <w:bCs w:val="1"/>
                <w:color w:val="auto"/>
                <w:vertAlign w:val="superscript"/>
              </w:rPr>
              <w:t>(a)</w:t>
            </w:r>
          </w:p>
        </w:tc>
      </w:tr>
      <w:tr>
        <w:trPr>
          <w:trHeight w:val="196"/>
        </w:trPr>
        <w:tc>
          <w:tcPr>
            <w:tcW w:w="5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Camp Creek Inn</w:t>
            </w:r>
          </w:p>
        </w:tc>
        <w:tc>
          <w:tcPr>
            <w:tcW w:w="24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WaterColor Inn</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Pearl Hotel</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Watersound Inn</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5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The Lodge 30A </w:t>
            </w:r>
            <w:r>
              <w:rPr>
                <w:rFonts w:ascii="Times New Roman" w:cs="Times New Roman" w:eastAsia="Times New Roman" w:hAnsi="Times New Roman"/>
                <w:sz w:val="23"/>
                <w:szCs w:val="23"/>
                <w:color w:val="auto"/>
                <w:vertAlign w:val="superscript"/>
              </w:rPr>
              <w:t>(b)</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2"/>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Home2 Suites by Hilton Santa Rosa Beach</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5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Embassy Suites by Hilton Panama City Beach Resort </w:t>
            </w:r>
            <w:r>
              <w:rPr>
                <w:rFonts w:ascii="Times New Roman" w:cs="Times New Roman" w:eastAsia="Times New Roman" w:hAnsi="Times New Roman"/>
                <w:sz w:val="23"/>
                <w:szCs w:val="23"/>
                <w:color w:val="auto"/>
                <w:vertAlign w:val="superscript"/>
              </w:rPr>
              <w:t>(b)</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Hilton Garden Inn Panama City Airport</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3"/>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Homewood Suites by Hilton Panama City Beach</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Hotel Indigo Panama City Marina</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3"/>
        </w:trPr>
        <w:tc>
          <w:tcPr>
            <w:tcW w:w="5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TownePlace Suites by Marriott Panama City Beach Pier Park </w:t>
            </w:r>
            <w:r>
              <w:rPr>
                <w:rFonts w:ascii="Times New Roman" w:cs="Times New Roman" w:eastAsia="Times New Roman" w:hAnsi="Times New Roman"/>
                <w:sz w:val="23"/>
                <w:szCs w:val="23"/>
                <w:color w:val="auto"/>
                <w:vertAlign w:val="superscript"/>
              </w:rPr>
              <w:t>(c)</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3"/>
        </w:trPr>
        <w:tc>
          <w:tcPr>
            <w:tcW w:w="5320" w:type="dxa"/>
            <w:vAlign w:val="bottom"/>
            <w:tcBorders>
              <w:bottom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Residence Inn Panama City Beach Pier Park </w:t>
            </w:r>
            <w:r>
              <w:rPr>
                <w:rFonts w:ascii="Times New Roman" w:cs="Times New Roman" w:eastAsia="Times New Roman" w:hAnsi="Times New Roman"/>
                <w:sz w:val="23"/>
                <w:szCs w:val="23"/>
                <w:color w:val="auto"/>
                <w:vertAlign w:val="superscript"/>
              </w:rPr>
              <w:t>(d)</w:t>
            </w:r>
          </w:p>
        </w:tc>
        <w:tc>
          <w:tcPr>
            <w:tcW w:w="2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196"/>
        </w:trPr>
        <w:tc>
          <w:tcPr>
            <w:tcW w:w="53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rooms</w:t>
            </w:r>
          </w:p>
        </w:tc>
        <w:tc>
          <w:tcPr>
            <w:tcW w:w="2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1,298</w:t>
            </w: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81"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hotels currently in operation. We have significant additional entitlements for future hotel projects on our land holdings.</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Property is related to a consolidated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8" w:lineRule="exact"/>
        <w:rPr>
          <w:rFonts w:ascii="Times New Roman" w:cs="Times New Roman" w:eastAsia="Times New Roman" w:hAnsi="Times New Roman"/>
          <w:sz w:val="16"/>
          <w:szCs w:val="16"/>
          <w:color w:val="auto"/>
        </w:rPr>
      </w:pPr>
    </w:p>
    <w:p>
      <w:pPr>
        <w:ind w:left="380" w:right="439" w:hanging="330"/>
        <w:spacing w:after="0" w:line="264" w:lineRule="auto"/>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hotel is operated by our JV partner. The Pier Park TPS JV is unconsolidated and is accounted for using the equity method, which is included within our commercial segment.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jc w:val="both"/>
        <w:ind w:left="380" w:right="219" w:hanging="330"/>
        <w:spacing w:after="0" w:line="288" w:lineRule="auto"/>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hotel, which opened in April 2024, is operated by our JV partner. The Pier Park RI JV is unconsolidated and is accounted for using the equity method, which is included within our commercial segment.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5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own and operate two marinas, the Point South Marina Bay Point in Bay County, Florida and Point South Marina Port St. Joe in Gulf County, Florida. We are planning new marinas along the Intracoastal Waterway.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also own and operate retail stores, two standalone restaurants and other entertainment assets.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to the properties listed above, we have a number of hospitality projects in various stages of planning.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Segment</w:t>
      </w:r>
    </w:p>
    <w:p>
      <w:pPr>
        <w:spacing w:after="0" w:line="22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Our commercial segment includes leasing of commercial property, multi-family, senior living, self-storage and other assets. The commercial segment also oversees the planning, development, entitlement, management and sale of our commercial and forestry land holdings for a variety of uses, including a broad range of retail, office, hotel, senior living, multi-family, self-storage and industrial properties. We believe the diversity of our commercial segment complements the growth of our residential and hospitality segments. We provide development opportunities for national, regional and local retailers and other strategic partners in Northwest Florida. We own and manage retail shopping centers and develop commercial parcels. We are currently developing the Watersound Town Center in Walton County, Florida and Watersound West Bay Center in Bay County, Florida. These lifestyle centers are complementary to the Watersound Origins, Watersound Origins West and Latitude Margaritaville Watersound residential communities. In conjunction with Florida State University (“FSU”) and Tallahassee Memorial Hospital (“TMH”), we are in the process of developing an 87-acre medical campus in Panama City Beach, Florida, the first building of which opened in July 2024. We have large land holdings near the Pier Park retail center, adjacent to the Northwest Florida Beaches International Airport, near or within business districts in the region and along major roadways. We lease land for various other uses. The commercial segment manages our timber holdings in Northwest Florida which includes growing and selling pulpwood, sawtimber and other products.</w:t>
      </w:r>
    </w:p>
    <w:p>
      <w:pPr>
        <w:spacing w:after="0" w:line="196"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commercial segment generates leasing revenue and incurs leasing expenses primarily from maintenance and management of our properties, personnel costs and asset holding costs. Our commercial segment generates revenue from the sale of developed and undeveloped land, timber holdings or land with limited development and/or entitlements and the sale of commercial operating properties. Real estate sales in our commercial segment incur costs of revenue directly associated with the land, development, construction, timber and selling costs. Our commercial segment generates timber revenue primarily from open market sales of timber on site without the associated delivery costs. Some of our JV assets and other assets incur interest and financing expenses related to loans as described in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units and percentage leased for multi-family and senior living communities by location are as follows: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7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Leased</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8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8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Units</w:t>
            </w:r>
          </w:p>
        </w:tc>
        <w:tc>
          <w:tcPr>
            <w:tcW w:w="340" w:type="dxa"/>
            <w:vAlign w:val="bottom"/>
          </w:tcPr>
          <w:p>
            <w:pPr>
              <w:spacing w:after="0"/>
              <w:rPr>
                <w:sz w:val="11"/>
                <w:szCs w:val="11"/>
                <w:color w:val="auto"/>
              </w:rPr>
            </w:pPr>
          </w:p>
        </w:tc>
        <w:tc>
          <w:tcPr>
            <w:tcW w:w="660" w:type="dxa"/>
            <w:vAlign w:val="bottom"/>
          </w:tcPr>
          <w:p>
            <w:pPr>
              <w:jc w:val="right"/>
              <w:ind w:right="89"/>
              <w:spacing w:after="0" w:line="128" w:lineRule="exact"/>
              <w:rPr>
                <w:sz w:val="20"/>
                <w:szCs w:val="20"/>
                <w:color w:val="auto"/>
              </w:rPr>
            </w:pPr>
            <w:r>
              <w:rPr>
                <w:rFonts w:ascii="Times New Roman" w:cs="Times New Roman" w:eastAsia="Times New Roman" w:hAnsi="Times New Roman"/>
                <w:sz w:val="13"/>
                <w:szCs w:val="13"/>
                <w:b w:val="1"/>
                <w:bCs w:val="1"/>
                <w:color w:val="auto"/>
              </w:rPr>
              <w:t>Units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rPr>
              <w:t>Units</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Units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3"/>
                <w:szCs w:val="13"/>
                <w:b w:val="1"/>
                <w:bCs w:val="1"/>
                <w:color w:val="auto"/>
                <w:w w:val="89"/>
              </w:rPr>
              <w:t xml:space="preserve">Planned </w:t>
            </w:r>
            <w:r>
              <w:rPr>
                <w:rFonts w:ascii="Times New Roman" w:cs="Times New Roman" w:eastAsia="Times New Roman" w:hAnsi="Times New Roman"/>
                <w:sz w:val="18"/>
                <w:szCs w:val="18"/>
                <w:b w:val="1"/>
                <w:bCs w:val="1"/>
                <w:color w:val="auto"/>
                <w:w w:val="89"/>
                <w:vertAlign w:val="superscript"/>
              </w:rPr>
              <w:t>(a)</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Completed</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Leased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Completed</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Completed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Leased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Multi-family</w:t>
            </w:r>
          </w:p>
        </w:tc>
        <w:tc>
          <w:tcPr>
            <w:tcW w:w="4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Pier Park Crossings </w:t>
            </w:r>
            <w:r>
              <w:rPr>
                <w:rFonts w:ascii="Times New Roman" w:cs="Times New Roman" w:eastAsia="Times New Roman" w:hAnsi="Times New Roman"/>
                <w:sz w:val="17"/>
                <w:szCs w:val="17"/>
                <w:color w:val="auto"/>
                <w:vertAlign w:val="superscript"/>
              </w:rPr>
              <w:t>(b)</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Bay County, FL</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3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1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Pier Park Crossings Phase II</w:t>
            </w:r>
          </w:p>
        </w:tc>
        <w:tc>
          <w:tcPr>
            <w:tcW w:w="12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Bay County, FL</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99 %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240" w:type="dxa"/>
            <w:vAlign w:val="bottom"/>
            <w:gridSpan w:val="3"/>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2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Watersound Origins</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Walton County, FL</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Crossings </w:t>
            </w:r>
            <w:r>
              <w:rPr>
                <w:rFonts w:ascii="Times New Roman" w:cs="Times New Roman" w:eastAsia="Times New Roman" w:hAnsi="Times New Roman"/>
                <w:sz w:val="20"/>
                <w:szCs w:val="20"/>
                <w:color w:val="auto"/>
                <w:vertAlign w:val="superscript"/>
              </w:rPr>
              <w:t>(b)</w:t>
            </w:r>
          </w:p>
        </w:tc>
        <w:tc>
          <w:tcPr>
            <w:tcW w:w="124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Bay Landing</w:t>
            </w:r>
          </w:p>
        </w:tc>
        <w:tc>
          <w:tcPr>
            <w:tcW w:w="1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Bay County, FL</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96 %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Mexico Beach Crossings </w:t>
            </w:r>
            <w:r>
              <w:rPr>
                <w:rFonts w:ascii="Times New Roman" w:cs="Times New Roman" w:eastAsia="Times New Roman" w:hAnsi="Times New Roman"/>
                <w:sz w:val="17"/>
                <w:szCs w:val="17"/>
                <w:color w:val="auto"/>
                <w:vertAlign w:val="superscript"/>
              </w:rPr>
              <w:t>(b)</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Bay County, FL</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12"/>
                <w:szCs w:val="12"/>
                <w:color w:val="auto"/>
              </w:rPr>
            </w:pPr>
          </w:p>
        </w:tc>
        <w:tc>
          <w:tcPr>
            <w:tcW w:w="10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83 %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Origins Crossings</w:t>
            </w:r>
          </w:p>
        </w:tc>
        <w:tc>
          <w:tcPr>
            <w:tcW w:w="12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Walton County, FL</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41 %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Townhomes </w:t>
            </w:r>
            <w:r>
              <w:rPr>
                <w:rFonts w:ascii="Times New Roman" w:cs="Times New Roman" w:eastAsia="Times New Roman" w:hAnsi="Times New Roman"/>
                <w:sz w:val="20"/>
                <w:szCs w:val="20"/>
                <w:color w:val="auto"/>
                <w:vertAlign w:val="superscript"/>
              </w:rPr>
              <w:t>(c)</w:t>
            </w:r>
          </w:p>
        </w:tc>
        <w:tc>
          <w:tcPr>
            <w:tcW w:w="124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WindMark Beach</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Gulf County, FL</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2"/>
                <w:szCs w:val="12"/>
                <w:color w:val="auto"/>
              </w:rPr>
            </w:pPr>
          </w:p>
        </w:tc>
        <w:tc>
          <w:tcPr>
            <w:tcW w:w="10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58 %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142"/>
        </w:trPr>
        <w:tc>
          <w:tcPr>
            <w:tcW w:w="1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Total multi-family units </w:t>
            </w:r>
            <w:r>
              <w:rPr>
                <w:rFonts w:ascii="Times New Roman" w:cs="Times New Roman" w:eastAsia="Times New Roman" w:hAnsi="Times New Roman"/>
                <w:sz w:val="16"/>
                <w:szCs w:val="16"/>
                <w:b w:val="1"/>
                <w:bCs w:val="1"/>
                <w:color w:val="auto"/>
                <w:vertAlign w:val="superscript"/>
              </w:rPr>
              <w:t>(d)</w:t>
            </w:r>
          </w:p>
        </w:tc>
        <w:tc>
          <w:tcPr>
            <w:tcW w:w="4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1,118</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1,118</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1,009</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w:t>
            </w:r>
          </w:p>
        </w:tc>
        <w:tc>
          <w:tcPr>
            <w:tcW w:w="340" w:type="dxa"/>
            <w:vAlign w:val="bottom"/>
            <w:tcBorders>
              <w:top w:val="single" w:sz="8" w:color="CCEEF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1,128</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961</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Senior living communities</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Watercrest </w:t>
            </w:r>
            <w:r>
              <w:rPr>
                <w:rFonts w:ascii="Times New Roman" w:cs="Times New Roman" w:eastAsia="Times New Roman" w:hAnsi="Times New Roman"/>
                <w:sz w:val="17"/>
                <w:szCs w:val="17"/>
                <w:color w:val="auto"/>
                <w:vertAlign w:val="superscript"/>
              </w:rPr>
              <w:t>(b)</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Walton County, FL</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3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Watersound Fountains </w:t>
            </w:r>
            <w:r>
              <w:rPr>
                <w:rFonts w:ascii="Times New Roman" w:cs="Times New Roman" w:eastAsia="Times New Roman" w:hAnsi="Times New Roman"/>
                <w:sz w:val="17"/>
                <w:szCs w:val="17"/>
                <w:color w:val="auto"/>
                <w:vertAlign w:val="superscript"/>
              </w:rPr>
              <w:t>(e)</w:t>
            </w:r>
          </w:p>
        </w:tc>
        <w:tc>
          <w:tcPr>
            <w:tcW w:w="1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Walton County, FL</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34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1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senior living units</w:t>
            </w:r>
          </w:p>
        </w:tc>
        <w:tc>
          <w:tcPr>
            <w:tcW w:w="4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w:t>
            </w:r>
          </w:p>
        </w:tc>
        <w:tc>
          <w:tcPr>
            <w:tcW w:w="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w:t>
            </w: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150</w:t>
            </w: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w:t>
            </w:r>
          </w:p>
        </w:tc>
        <w:tc>
          <w:tcPr>
            <w:tcW w:w="340" w:type="dxa"/>
            <w:vAlign w:val="bottom"/>
            <w:tcBorders>
              <w:bottom w:val="single" w:sz="8" w:color="CCEEF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w:t>
            </w: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w:t>
            </w:r>
          </w:p>
        </w:tc>
        <w:tc>
          <w:tcPr>
            <w:tcW w:w="1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17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units</w:t>
            </w:r>
          </w:p>
        </w:tc>
        <w:tc>
          <w:tcPr>
            <w:tcW w:w="4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1,373</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1,373</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1,159</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w:t>
            </w:r>
          </w:p>
        </w:tc>
        <w:tc>
          <w:tcPr>
            <w:tcW w:w="340" w:type="dxa"/>
            <w:vAlign w:val="bottom"/>
            <w:tcBorders>
              <w:bottom w:val="single" w:sz="8" w:color="CCEEF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1,383</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1,103</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w:t>
            </w:r>
          </w:p>
        </w:tc>
        <w:tc>
          <w:tcPr>
            <w:tcW w:w="16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additional multi-family communities in various stages of planning.</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Property is related to a consolidated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8" w:lineRule="exact"/>
        <w:rPr>
          <w:rFonts w:ascii="Times New Roman" w:cs="Times New Roman" w:eastAsia="Times New Roman" w:hAnsi="Times New Roman"/>
          <w:sz w:val="16"/>
          <w:szCs w:val="16"/>
          <w:color w:val="auto"/>
        </w:rPr>
      </w:pPr>
    </w:p>
    <w:p>
      <w:pPr>
        <w:ind w:left="380" w:right="139" w:hanging="330"/>
        <w:spacing w:after="0" w:line="264"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2025, the townhomes were platted as individual units, which created the ability to sell them individually. New leases are no longer being entered into. In the second quarter of 2025, we sold ten townhomes, included within our residential segment.</w:t>
      </w:r>
    </w:p>
    <w:p>
      <w:pPr>
        <w:ind w:left="380" w:right="219" w:hanging="330"/>
        <w:spacing w:after="0" w:line="264"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multi-family communities are managed by our unconsolidated Watersound Management JV. The Watersound Management JV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ind w:left="380" w:right="159" w:hanging="330"/>
        <w:spacing w:after="0" w:line="276"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community opened in March 2024 and is currently under lease-up. The senior living community is operated by our JV partner. The Watersound Fountains Independent Living JV is unconsolidated and is accounted for using the equity method. See Note 4. </w:t>
      </w:r>
      <w:r>
        <w:rPr>
          <w:rFonts w:ascii="Times New Roman" w:cs="Times New Roman" w:eastAsia="Times New Roman" w:hAnsi="Times New Roman"/>
          <w:sz w:val="16"/>
          <w:szCs w:val="16"/>
          <w:i w:val="1"/>
          <w:iCs w:val="1"/>
          <w:color w:val="auto"/>
        </w:rPr>
        <w:t xml:space="preserve">Joint Ventures </w:t>
      </w:r>
      <w:r>
        <w:rPr>
          <w:rFonts w:ascii="Times New Roman" w:cs="Times New Roman" w:eastAsia="Times New Roman" w:hAnsi="Times New Roman"/>
          <w:sz w:val="16"/>
          <w:szCs w:val="16"/>
          <w:color w:val="auto"/>
        </w:rPr>
        <w:t>for additional information.</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As of June 30, 2025, our leasing portfolio consists of approximately 1,177,000 square feet of leasable space for mixed-use, retail, industrial, office, self-storage and medical uses. Through separate unconsolidated JVs, other commercial properties that are operated by our JV partners include a 124-room TownePlace Suites by Marriott, a 121-room Residence Inn, a Busy Bee branded fuel station and convenience store, which includes a Starbucks, and a golf cart sales and service facility, all located in Bay County, Florida.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net rentable square feet and percentage leased of leasing properties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120" w:type="dxa"/>
            <w:vAlign w:val="bottom"/>
            <w:gridSpan w:val="4"/>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Net</w:t>
            </w: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Net</w:t>
            </w:r>
          </w:p>
        </w:tc>
        <w:tc>
          <w:tcPr>
            <w:tcW w:w="8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Rentable</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Rentable</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Square</w:t>
            </w:r>
          </w:p>
        </w:tc>
        <w:tc>
          <w:tcPr>
            <w:tcW w:w="1040" w:type="dxa"/>
            <w:vAlign w:val="bottom"/>
            <w:gridSpan w:val="2"/>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Square</w:t>
            </w:r>
          </w:p>
        </w:tc>
        <w:tc>
          <w:tcPr>
            <w:tcW w:w="1120" w:type="dxa"/>
            <w:vAlign w:val="bottom"/>
            <w:gridSpan w:val="2"/>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2"/>
          </w:tcPr>
          <w:p>
            <w:pPr>
              <w:ind w:left="8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Feet*</w:t>
            </w:r>
          </w:p>
        </w:tc>
        <w:tc>
          <w:tcPr>
            <w:tcW w:w="1040" w:type="dxa"/>
            <w:vAlign w:val="bottom"/>
            <w:gridSpan w:val="2"/>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Feet*</w:t>
            </w:r>
          </w:p>
        </w:tc>
        <w:tc>
          <w:tcPr>
            <w:tcW w:w="1120" w:type="dxa"/>
            <w:vAlign w:val="bottom"/>
            <w:gridSpan w:val="2"/>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0" w:type="dxa"/>
            <w:vAlign w:val="bottom"/>
          </w:tcPr>
          <w:p>
            <w:pPr>
              <w:spacing w:after="0"/>
              <w:rPr>
                <w:sz w:val="1"/>
                <w:szCs w:val="1"/>
                <w:color w:val="auto"/>
              </w:rPr>
            </w:pPr>
          </w:p>
        </w:tc>
      </w:tr>
      <w:tr>
        <w:trPr>
          <w:trHeight w:val="155"/>
        </w:trPr>
        <w:tc>
          <w:tcPr>
            <w:tcW w:w="250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Pier Park North </w:t>
            </w:r>
            <w:r>
              <w:rPr>
                <w:rFonts w:ascii="Times New Roman" w:cs="Times New Roman" w:eastAsia="Times New Roman" w:hAnsi="Times New Roman"/>
                <w:sz w:val="18"/>
                <w:szCs w:val="18"/>
                <w:color w:val="auto"/>
                <w:vertAlign w:val="superscript"/>
              </w:rPr>
              <w:t>(a)</w:t>
            </w:r>
          </w:p>
        </w:tc>
        <w:tc>
          <w:tcPr>
            <w:tcW w:w="2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Bay County, FL</w:t>
            </w:r>
          </w:p>
        </w:tc>
        <w:tc>
          <w:tcPr>
            <w:tcW w:w="1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320,310</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3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320,310</w:t>
            </w:r>
          </w:p>
        </w:tc>
        <w:tc>
          <w:tcPr>
            <w:tcW w:w="1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3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VentureCrossings</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303,605</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303,605</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Watersound Town Center </w:t>
            </w:r>
            <w:r>
              <w:rPr>
                <w:rFonts w:ascii="Times New Roman" w:cs="Times New Roman" w:eastAsia="Times New Roman" w:hAnsi="Times New Roman"/>
                <w:sz w:val="18"/>
                <w:szCs w:val="18"/>
                <w:color w:val="auto"/>
                <w:vertAlign w:val="superscript"/>
              </w:rPr>
              <w:t>(b) (c)</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153,825</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89 %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155,962</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86 %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Beckrich Office Park </w:t>
            </w:r>
            <w:r>
              <w:rPr>
                <w:rFonts w:ascii="Times New Roman" w:cs="Times New Roman" w:eastAsia="Times New Roman" w:hAnsi="Times New Roman"/>
                <w:sz w:val="18"/>
                <w:szCs w:val="18"/>
                <w:color w:val="auto"/>
                <w:vertAlign w:val="superscript"/>
              </w:rPr>
              <w:t>(c) (d) (e)</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80,128</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86 %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78,322</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FSU/TMH Medical Campus </w:t>
            </w:r>
            <w:r>
              <w:rPr>
                <w:rFonts w:ascii="Times New Roman" w:cs="Times New Roman" w:eastAsia="Times New Roman" w:hAnsi="Times New Roman"/>
                <w:sz w:val="18"/>
                <w:szCs w:val="18"/>
                <w:color w:val="auto"/>
                <w:vertAlign w:val="superscript"/>
              </w:rPr>
              <w:t>(f)</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78,670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78,670</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Watersound Self-Storage</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67,694</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92 %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67,694</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WindMark Beach Town Center </w:t>
            </w:r>
            <w:r>
              <w:rPr>
                <w:rFonts w:ascii="Times New Roman" w:cs="Times New Roman" w:eastAsia="Times New Roman" w:hAnsi="Times New Roman"/>
                <w:sz w:val="18"/>
                <w:szCs w:val="18"/>
                <w:color w:val="auto"/>
                <w:vertAlign w:val="superscript"/>
              </w:rPr>
              <w:t>(c) (g)</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Gulf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44,748</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57 %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44,748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71 %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Cedar Grove Commerce Park</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19,389</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19,389</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WaterColor Town Center </w:t>
            </w:r>
            <w:r>
              <w:rPr>
                <w:rFonts w:ascii="Times New Roman" w:cs="Times New Roman" w:eastAsia="Times New Roman" w:hAnsi="Times New Roman"/>
                <w:sz w:val="18"/>
                <w:szCs w:val="18"/>
                <w:color w:val="auto"/>
                <w:vertAlign w:val="superscript"/>
              </w:rPr>
              <w:t>(c) (h)</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17,560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95 %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22,199</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75 %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Port St. Joe Commercial</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Gulf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16,964</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16,964</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Beach Commerce Park </w:t>
            </w:r>
            <w:r>
              <w:rPr>
                <w:rFonts w:ascii="Times New Roman" w:cs="Times New Roman" w:eastAsia="Times New Roman" w:hAnsi="Times New Roman"/>
                <w:sz w:val="18"/>
                <w:szCs w:val="18"/>
                <w:color w:val="auto"/>
                <w:vertAlign w:val="superscript"/>
              </w:rPr>
              <w:t>(c)</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14,800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14,800</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South Walton Commerce Park</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11,570</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11,570</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Watersound Gatehouse </w:t>
            </w:r>
            <w:r>
              <w:rPr>
                <w:rFonts w:ascii="Times New Roman" w:cs="Times New Roman" w:eastAsia="Times New Roman" w:hAnsi="Times New Roman"/>
                <w:sz w:val="18"/>
                <w:szCs w:val="18"/>
                <w:color w:val="auto"/>
                <w:vertAlign w:val="superscript"/>
              </w:rPr>
              <w:t>(c)</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10,271</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82 %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10,271</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87 %</w:t>
            </w:r>
          </w:p>
        </w:tc>
        <w:tc>
          <w:tcPr>
            <w:tcW w:w="0" w:type="dxa"/>
            <w:vAlign w:val="bottom"/>
          </w:tcPr>
          <w:p>
            <w:pPr>
              <w:spacing w:after="0"/>
              <w:rPr>
                <w:sz w:val="1"/>
                <w:szCs w:val="1"/>
                <w:color w:val="auto"/>
              </w:rPr>
            </w:pPr>
          </w:p>
        </w:tc>
      </w:tr>
      <w:tr>
        <w:trPr>
          <w:trHeight w:val="145"/>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2"/>
                <w:szCs w:val="22"/>
                <w:color w:val="auto"/>
                <w:vertAlign w:val="superscript"/>
              </w:rPr>
              <w:t>(i)</w:t>
            </w:r>
          </w:p>
        </w:tc>
        <w:tc>
          <w:tcPr>
            <w:tcW w:w="228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Bay, Gulf and Walton Counties,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00" w:type="dxa"/>
            <w:vAlign w:val="bottom"/>
            <w:gridSpan w:val="2"/>
            <w:vMerge w:val="continue"/>
          </w:tcPr>
          <w:p>
            <w:pPr>
              <w:spacing w:after="0"/>
              <w:rPr>
                <w:sz w:val="15"/>
                <w:szCs w:val="15"/>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FL</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37,590</w:t>
            </w:r>
          </w:p>
        </w:tc>
        <w:tc>
          <w:tcPr>
            <w:tcW w:w="140" w:type="dxa"/>
            <w:vAlign w:val="bottom"/>
          </w:tcPr>
          <w:p>
            <w:pPr>
              <w:spacing w:after="0"/>
              <w:rPr>
                <w:sz w:val="15"/>
                <w:szCs w:val="15"/>
                <w:color w:val="auto"/>
              </w:rPr>
            </w:pPr>
          </w:p>
        </w:tc>
        <w:tc>
          <w:tcPr>
            <w:tcW w:w="10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100 %</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37,590</w:t>
            </w:r>
          </w:p>
        </w:tc>
        <w:tc>
          <w:tcPr>
            <w:tcW w:w="140" w:type="dxa"/>
            <w:vAlign w:val="bottom"/>
          </w:tcPr>
          <w:p>
            <w:pPr>
              <w:spacing w:after="0"/>
              <w:rPr>
                <w:sz w:val="15"/>
                <w:szCs w:val="15"/>
                <w:color w:val="auto"/>
              </w:rPr>
            </w:pPr>
          </w:p>
        </w:tc>
        <w:tc>
          <w:tcPr>
            <w:tcW w:w="11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55"/>
        </w:trPr>
        <w:tc>
          <w:tcPr>
            <w:tcW w:w="2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2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1,177,124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95</w:t>
            </w:r>
          </w:p>
        </w:tc>
        <w:tc>
          <w:tcPr>
            <w:tcW w:w="3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1,182,094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95</w:t>
            </w:r>
          </w:p>
        </w:tc>
        <w:tc>
          <w:tcPr>
            <w:tcW w:w="3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59" w:hanging="330"/>
        <w:spacing w:after="0" w:line="298"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Rentable Square Feet is designated as the current square feet available for lease as specified in the applicable lease agreements plus management’s estimate of space available for lease based on construction drawings.</w:t>
      </w:r>
    </w:p>
    <w:p>
      <w:pPr>
        <w:spacing w:after="0" w:line="149" w:lineRule="exact"/>
        <w:rPr>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Property is related to a consolidated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28" w:lineRule="exact"/>
        <w:rPr>
          <w:rFonts w:ascii="Times New Roman" w:cs="Times New Roman" w:eastAsia="Times New Roman" w:hAnsi="Times New Roman"/>
          <w:sz w:val="16"/>
          <w:szCs w:val="16"/>
          <w:color w:val="auto"/>
        </w:rPr>
      </w:pPr>
    </w:p>
    <w:p>
      <w:pPr>
        <w:ind w:left="380" w:right="79" w:hanging="330"/>
        <w:spacing w:after="0" w:line="264" w:lineRule="auto"/>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rentable square feet of 4,615 and 6,752 within our residential segment as of June 30, 2025 and December 31, 2024, respectively. Included in net rentable square feet as of December 31, 2024, is 2,137 square feet leased to a consolidated JV. Included in net rentable square feet as of June 30, 2025 and December 31, 2024, is 1,200 square feet leased to an unconsolidated JV.</w:t>
      </w:r>
    </w:p>
    <w:p>
      <w:pPr>
        <w:ind w:left="380" w:hanging="330"/>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net rentable square feet, there is also space that we occupy or that serves as common area.</w:t>
      </w:r>
    </w:p>
    <w:p>
      <w:pPr>
        <w:spacing w:after="0" w:line="18" w:lineRule="exact"/>
        <w:rPr>
          <w:rFonts w:ascii="Times New Roman" w:cs="Times New Roman" w:eastAsia="Times New Roman" w:hAnsi="Times New Roman"/>
          <w:sz w:val="16"/>
          <w:szCs w:val="16"/>
          <w:color w:val="auto"/>
        </w:rPr>
      </w:pPr>
    </w:p>
    <w:p>
      <w:pPr>
        <w:ind w:left="380" w:right="619" w:hanging="330"/>
        <w:spacing w:after="0" w:line="264" w:lineRule="auto"/>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occupied approximately 22,556 and 24,000 square feet as our headquarters as of June 30, 2025 and December 31, 2024, respectively, each of which is excluded from net rentable square feet.</w:t>
      </w:r>
    </w:p>
    <w:p>
      <w:pPr>
        <w:ind w:left="380" w:hanging="330"/>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net rentable square feet as of December 31, 2024, is 1,500 square feet leased to a consolidated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medical office building was completed in the third quarter of 2024.</w:t>
      </w:r>
    </w:p>
    <w:p>
      <w:pPr>
        <w:spacing w:after="0" w:line="18" w:lineRule="exact"/>
        <w:rPr>
          <w:rFonts w:ascii="Times New Roman" w:cs="Times New Roman" w:eastAsia="Times New Roman" w:hAnsi="Times New Roman"/>
          <w:sz w:val="16"/>
          <w:szCs w:val="16"/>
          <w:color w:val="auto"/>
        </w:rPr>
      </w:pPr>
    </w:p>
    <w:p>
      <w:pPr>
        <w:ind w:left="380" w:right="319" w:hanging="330"/>
        <w:spacing w:after="0" w:line="264" w:lineRule="auto"/>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net rentable square feet as of June 30, 2025 and December 31, 2024, is 5,658 and 13,808 square feet, respectively, of unfinished space.</w:t>
      </w:r>
    </w:p>
    <w:p>
      <w:pPr>
        <w:ind w:left="380" w:right="459" w:hanging="330"/>
        <w:spacing w:after="0" w:line="264" w:lineRule="auto"/>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 portion of vacant space was being held as future office for our new boutique real estate brokerage business.</w:t>
      </w:r>
    </w:p>
    <w:p>
      <w:pPr>
        <w:ind w:left="380" w:hanging="330"/>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various other properties, each with less than 10,000 net rentable square feet.</w:t>
      </w:r>
    </w:p>
    <w:p>
      <w:pPr>
        <w:spacing w:after="0" w:line="22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We have commercial projects under development and construction as detailed in the table below. In addition to these properties, we have other commercial buildings and sites in various stages of planning and development.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Completed Square</w:t>
            </w:r>
          </w:p>
        </w:tc>
        <w:tc>
          <w:tcPr>
            <w:tcW w:w="14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Square Feet Under</w:t>
            </w:r>
          </w:p>
        </w:tc>
        <w:tc>
          <w:tcPr>
            <w:tcW w:w="12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Square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32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Planned Square</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Feet</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Feet</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Feet*</w:t>
            </w: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 xml:space="preserve">Watersound Town Center </w:t>
            </w:r>
            <w:r>
              <w:rPr>
                <w:rFonts w:ascii="Times New Roman" w:cs="Times New Roman" w:eastAsia="Times New Roman" w:hAnsi="Times New Roman"/>
                <w:sz w:val="22"/>
                <w:szCs w:val="22"/>
                <w:color w:val="auto"/>
                <w:vertAlign w:val="superscript"/>
              </w:rPr>
              <w:t>(a)</w:t>
            </w: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155,962</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230,838</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Watersound West Bay Center</w:t>
            </w: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18,304</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478,330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FSU/TMH Medical Campus</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78,670</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241,330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237,998</w:t>
            </w:r>
          </w:p>
        </w:tc>
        <w:tc>
          <w:tcPr>
            <w:tcW w:w="1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31,504</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950,498</w:t>
            </w:r>
          </w:p>
        </w:tc>
        <w:tc>
          <w:tcPr>
            <w:tcW w:w="1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Total square feet are based on current estimates and are subject to change</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(a)</w:t>
        <w:tab/>
        <w:t>We occupy 2,137 square feet of the completed space.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GAAP. The preparation of these financial statements requires us to make estimates and judgments that affect the reported amounts of assets, liabilities, revenue and expenses and related disclosures of contingent assets and liabilities. We base these estimates on historical experience, available current market information and on various other assumptions that management believes are reasonable under the circumstances. Additionally, we evaluate the results of these estimates on an on-going basis. Management’s estimates form the basis for making judgments about the carrying values of assets and liabilities that are not readily apparent from other sources. Actual results may differ from these estimates under different assumptions or conditions and our accounting estimates are subject to change.</w:t>
      </w:r>
    </w:p>
    <w:p>
      <w:pPr>
        <w:spacing w:after="0" w:line="188"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Critical accounting policies that we believe reflect our more significant judgments and estimates used in the preparation of our condensed consolidated financial statements are set forth in Item 7 of our Annual Report on Form 10-K for the year ended December 31, 2024. There have been no significant changes in these policies during the first six months of 2025, however we cannot assure you that these policies will not change in the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7" w:lineRule="exact"/>
        <w:rPr>
          <w:sz w:val="20"/>
          <w:szCs w:val="20"/>
          <w:color w:val="auto"/>
        </w:rPr>
      </w:pPr>
    </w:p>
    <w:p>
      <w:pPr>
        <w:ind w:left="60" w:right="219" w:firstLine="324"/>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condensed consolidated financial statements included in this report for recently issued or adopted accounting standards, including the date of adoption and effect on our condensed consolidated financial statements.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 and Market Variability</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Our operations may be affected by seasonal fluctuations. The revenues and earnings from our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residential or commercial real estate sales. We may also choose to operate rather than lease assets, lease rather than sell assets, or sell improved rather than unimproved assets that may delay revenue and profits.</w:t>
      </w:r>
    </w:p>
    <w:p>
      <w:pPr>
        <w:spacing w:after="0" w:line="187"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Hospitality revenues are typically higher in the second and third quarters, and vary depending on the timing of holidays and school breaks. Commercial real estate sales tend to be non-recurring. Projects depend on uncertain demand. Extraordinary events such as hurricanes or public health emergencies may dramatically change demand and pricing for products and services.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comparison of the results of our operations: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28"/>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8"/>
                <w:szCs w:val="18"/>
                <w:color w:val="auto"/>
              </w:rPr>
            </w:pPr>
          </w:p>
        </w:tc>
      </w:tr>
      <w:tr>
        <w:trPr>
          <w:trHeight w:val="216"/>
        </w:trPr>
        <w:tc>
          <w:tcPr>
            <w:tcW w:w="4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18"/>
                <w:szCs w:val="18"/>
                <w:color w:val="auto"/>
              </w:rPr>
            </w:pPr>
          </w:p>
        </w:tc>
      </w:tr>
      <w:tr>
        <w:trPr>
          <w:trHeight w:val="20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real estate revenue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hospitality revenue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leasing revenue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other operating expenses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r>
      <w:tr>
        <w:trPr>
          <w:trHeight w:val="209"/>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0" w:type="dxa"/>
            <w:vAlign w:val="bottom"/>
          </w:tcPr>
          <w:p>
            <w:pPr>
              <w:spacing w:after="0"/>
              <w:rPr>
                <w:sz w:val="18"/>
                <w:szCs w:val="18"/>
                <w:color w:val="auto"/>
              </w:rPr>
            </w:pPr>
          </w:p>
        </w:tc>
      </w:tr>
      <w:tr>
        <w:trPr>
          <w:trHeight w:val="20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20" w:type="dxa"/>
            <w:vAlign w:val="bottom"/>
          </w:tcPr>
          <w:p>
            <w:pPr>
              <w:spacing w:after="0"/>
              <w:rPr>
                <w:sz w:val="18"/>
                <w:szCs w:val="18"/>
                <w:color w:val="auto"/>
              </w:rPr>
            </w:pP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net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income from unconsolidated joint ventures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8"/>
                <w:szCs w:val="18"/>
                <w:color w:val="auto"/>
              </w:rPr>
            </w:pPr>
          </w:p>
        </w:tc>
      </w:tr>
      <w:tr>
        <w:trPr>
          <w:trHeight w:val="216"/>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r>
      <w:tr>
        <w:trPr>
          <w:trHeight w:val="21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3"/>
        </w:trPr>
        <w:tc>
          <w:tcPr>
            <w:tcW w:w="4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 Revenue and Gross Profit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comparison of our total consolidated real estate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280"/>
              <w:spacing w:after="0" w:line="129" w:lineRule="exact"/>
              <w:rPr>
                <w:sz w:val="20"/>
                <w:szCs w:val="20"/>
                <w:color w:val="auto"/>
              </w:rPr>
            </w:pPr>
            <w:r>
              <w:rPr>
                <w:rFonts w:ascii="Times New Roman" w:cs="Times New Roman" w:eastAsia="Times New Roman" w:hAnsi="Times New Roman"/>
                <w:sz w:val="14"/>
                <w:szCs w:val="14"/>
                <w:i w:val="1"/>
                <w:iCs w:val="1"/>
                <w:color w:val="auto"/>
              </w:rPr>
              <w:t>Dollars in</w:t>
            </w:r>
          </w:p>
        </w:tc>
        <w:tc>
          <w:tcPr>
            <w:tcW w:w="6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millions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20"/>
                <w:szCs w:val="20"/>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91.9 %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86.5 %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Commercial and forestry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 estate revenue</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Timber revenue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Real estate revenue</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14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4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16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4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50.2 %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Commercial and forestry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0"/>
                <w:szCs w:val="20"/>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Timber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72.7 %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45.7 %</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b w:val="1"/>
                <w:bCs w:val="1"/>
                <w:u w:val="single" w:color="auto"/>
                <w:color w:val="auto"/>
              </w:rPr>
              <w:t>9</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51.9 %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48.1 %</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r>
              <w:rPr>
                <w:rFonts w:ascii="Times New Roman" w:cs="Times New Roman" w:eastAsia="Times New Roman" w:hAnsi="Times New Roman"/>
                <w:sz w:val="18"/>
                <w:szCs w:val="18"/>
                <w:b w:val="1"/>
                <w:bCs w:val="1"/>
                <w:u w:val="single" w:color="auto"/>
                <w:color w:val="auto"/>
              </w:rPr>
              <w:t>0</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  Calculated percentage of total real estate revenue and the respective gross margin percentage.</w:t>
      </w:r>
    </w:p>
    <w:p>
      <w:pPr>
        <w:spacing w:after="0" w:line="251"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Residential Real Estate Revenue and Gross Profit</w:t>
      </w:r>
      <w:r>
        <w:rPr>
          <w:rFonts w:ascii="Times New Roman" w:cs="Times New Roman" w:eastAsia="Times New Roman" w:hAnsi="Times New Roman"/>
          <w:sz w:val="18"/>
          <w:szCs w:val="18"/>
          <w:color w:val="auto"/>
        </w:rPr>
        <w:t>. During the three months ended June 30, 2025, residential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increased $6.4 million, or 20.2%, to $38.1 million, as compared to $31.7 million during the same period in 2024. During the three months ended June 30, 2025, residential real estate gross profit increased $1.1 million to $17.0 million (or gross margin of 44.6%), as compared to $15.9 million (or gross margin of 50.2%) during the same period in 2024. During the three months ended June 30, 2025, we sold 225 homesites and 10 homes, compared to 186 homesites during the same period in 2024. During the three months ended June 30, 2025 and 2024, the average base revenue, excluding homesite residuals, per homesite sold was approximately $122,000 and $140,000, respectively, due to the mix of sales from different communities. The revenue, gross profit and margin for each period was impacted by the difference in pricing among the communities, the difference in the cost of the homesite development and the volume of sales within each of the communities. The number of homesites sold varied each period due to the timing of homebuilder contractual closing obligations in our residential communities.</w:t>
      </w:r>
    </w:p>
    <w:p>
      <w:pPr>
        <w:spacing w:after="0" w:line="194"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residential real estate revenue increased $8.5 million, or 13.6%, to $71.0 million, as compared to $62.5 million during the same period in 2024. During the six months ended June 30, 2025, residential real estate gross profit increased $0.2 million to $31.9 million (or gross margin of 44.9%), as compared to $31.7 million (or gross margin of 50.7%) during the same period in 2024. During the six months ended June 30, 2025, we</w:t>
      </w:r>
    </w:p>
    <w:p>
      <w:pPr>
        <w:spacing w:after="0" w:line="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sold 474 homesites and 10 homes, compared to 402 homesites during the same period in 2024. During the six months ended June 30, 2025 and 2024, the average base revenue, excluding homesite residuals, per homesite sold was approximately $118,000 and $128,000, respectively, due to the mix of sales from different communities. The revenue, gross profit and margin for each period was impacted by the difference in pricing among the communities, the difference in the cost of the homesite development and the volume of sales within each of the communities. The number of homesites sold varied each period due to the timing of homebuilder contractual closing obligations in our residential communities.</w:t>
      </w:r>
    </w:p>
    <w:p>
      <w:pPr>
        <w:spacing w:after="0" w:line="188" w:lineRule="exact"/>
        <w:rPr>
          <w:sz w:val="20"/>
          <w:szCs w:val="20"/>
          <w:color w:val="auto"/>
        </w:rPr>
      </w:pPr>
    </w:p>
    <w:p>
      <w:pPr>
        <w:ind w:left="60" w:right="279"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Commercial and Forestry Real Estate Revenue and Gross Profit</w:t>
      </w:r>
      <w:r>
        <w:rPr>
          <w:rFonts w:ascii="Times New Roman" w:cs="Times New Roman" w:eastAsia="Times New Roman" w:hAnsi="Times New Roman"/>
          <w:sz w:val="17"/>
          <w:szCs w:val="17"/>
          <w:color w:val="auto"/>
        </w:rPr>
        <w:t>. During the three months ended June 30, 2025,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had five commercial and forestry real estate sales totaling approximately 11 acres for $3.3 million, resulting in a gross profit of $1.6 million (or gross margin of 48.5%), which included the sale of a property used in hospitality operations for $1.4 million. During the three months ended June 30, 2024, we had a commercial and forestry real estate sale totaling</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approximately 168 acres for $0.7 million, with de minimis cost of revenue resulting in a gross profit margin of approximately 100.0%.</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we had seven commercial and forestry real estate sales totaling approximately 144 acres for $6.5 million, resulting in a gross profit of $4.7 million (or gross margin of 72.3%), which included the sale of a property used in hospitality operations for $1.4 million. During the six months ended June 30, 2024, we had three commercial and forestry real estate sales totaling approximately 243 acres for $2.1 million, resulting in a gross profit of $1.8 million (or gross margin of 85.7%).</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Revenue from commercial and forestry real estate can vary significantly from period-to-period depending on the proximity to developed areas and mix of real estate sold in each period, with varying compositions of retail, office, industrial, timber and other commercial uses. Our gross margin can vary significantly from period-to-period depending on the characteristics of property sold. Sales of forestry land typically have a lower cost basis than residential and commercial real estate sales. In addition, our cost basis in residential and commercial real estate can vary depending on the amount of development, construction or other costs incurred on the property.</w:t>
      </w:r>
    </w:p>
    <w:p>
      <w:pPr>
        <w:spacing w:after="0" w:line="185"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Timber Revenue and Gross Profit. </w:t>
      </w:r>
      <w:r>
        <w:rPr>
          <w:rFonts w:ascii="Times New Roman" w:cs="Times New Roman" w:eastAsia="Times New Roman" w:hAnsi="Times New Roman"/>
          <w:sz w:val="18"/>
          <w:szCs w:val="18"/>
          <w:color w:val="auto"/>
        </w:rPr>
        <w:t>Timber revenue increased $0.2 million, or 18.2%, to $1.3 million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as compared to $1.1 million in the same period in 2024. There were 62,000 tons of wood products sold at an average price per ton of $19.64 during the three months ended June 30, 2025, as compared to 67,000 tons of wood products sold at an average price per ton of $14.09, during the same period in 2024. Timber gross margin was 84.6% during the three months ended June 30, 2025, as compared to 72.7% during the same period in 2024. The increase was primarily due to higher prices in the current period.</w:t>
      </w:r>
    </w:p>
    <w:p>
      <w:pPr>
        <w:spacing w:after="0" w:line="184"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Timber revenue increased $0.2 million, or 8.7%, to $2.5 million during the six months ended June 30, 2025, as compared to $2.3 million in the same period in 2024. There were 135,000 tons of wood products sold at an average price per ton of $16.90 during the six months ended June 30, 2025, as compared to 142,000 tons of wood products sold at an average price per ton of $14.48, during the same period in 2024. Timber gross margin was 84.0% during the six months ended June 30, 2025, as compared to 82.6% during the same period in 2024. The increase was primarily due to higher prices in the current period.</w:t>
      </w:r>
    </w:p>
    <w:p>
      <w:pPr>
        <w:spacing w:after="0" w:line="185" w:lineRule="exact"/>
        <w:rPr>
          <w:sz w:val="20"/>
          <w:szCs w:val="20"/>
          <w:color w:val="auto"/>
        </w:rPr>
      </w:pPr>
    </w:p>
    <w:p>
      <w:pPr>
        <w:ind w:left="60" w:right="4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Other revenue primarily consists of title insurance and real estate brokerage business revenue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mitigation bank credit sales.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Revenue and Gross Profit</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9"/>
        </w:trPr>
        <w:tc>
          <w:tcPr>
            <w:tcW w:w="3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i w:val="1"/>
                <w:iCs w:val="1"/>
                <w:color w:val="auto"/>
                <w:w w:val="92"/>
              </w:rPr>
              <w:t>In millions</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 revenue</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68.8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39.2 %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r>
    </w:tbl>
    <w:p>
      <w:pPr>
        <w:spacing w:after="0" w:line="198"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Hospitality revenue increased $6.5 million, or 10.4%, to $68.8 million during the three months ended June 30, 2025, as compared to $62.3 million in the same period in 2024. The increase in hospitality revenue was primarily related to the increase in membership dues and membership ancillary spend as well as The Third golf course, which opened in November 2024 and the renovated Shark’s Tooth clubhouse, which reopened in February 2025. The increase in revenue was also related to an increase in hotel operations, due to the timing of holidays and school breaks. Hospitality gross margin decreased to 38.5% during the three months ended June 30, 2025, compared to 39.2% during the same period in 2024. The decrease in gross margin during the current period was primarily due to ongoing operating costs for The Third golf course and the Shark’s Tooth clubhouse.</w:t>
      </w:r>
    </w:p>
    <w:p>
      <w:pPr>
        <w:spacing w:after="0" w:line="19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Hospitality revenue increased $6.8 million, or 6.7%, to $108.4 million during the six months ended June 30, 2025, as compared to $101.6 million in the same period in 2024. The increase in hospitality revenue was primarily related to the increase in membership dues and membership ancillary spend as well as The Third golf course, which opened in November 2024 and the renovated Shark’s Tooth clubhouse, which reopened in February 2025. The increase in revenue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was also related to an increase in hotel operations, due to the timing of holidays and school breaks. As of June 30, 2025, Watersound Club had 3,551 members, compared with 3,571 members as of June 30, 2024, a net decrease of 20 members. As of both June 30, 2025 and 2024, we had 1,053 operational hotel rooms (excluding 245 hotel rooms related to unconsolidated JVs). Hospitality gross margin decreased to 31.1% during the six months ended June 30, 2025, compared to 32.9% during the same period in 2024. The decrease in gross margin was primarily due to ongoing operating costs for The Third golf course and reopening and ongoing operating costs of the Shark’s Tooth clubhouse during the current period.</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Leasing Revenue and Gross Profit</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9"/>
        </w:trPr>
        <w:tc>
          <w:tcPr>
            <w:tcW w:w="28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i w:val="1"/>
                <w:iCs w:val="1"/>
                <w:color w:val="auto"/>
                <w:w w:val="96"/>
              </w:rPr>
              <w:t>In millions</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revenue</w:t>
            </w: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50.7 %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50.2 %</w:t>
            </w:r>
          </w:p>
        </w:tc>
      </w:tr>
    </w:tbl>
    <w:p>
      <w:pPr>
        <w:spacing w:after="0" w:line="198" w:lineRule="exact"/>
        <w:rPr>
          <w:sz w:val="20"/>
          <w:szCs w:val="20"/>
          <w:color w:val="auto"/>
        </w:rPr>
      </w:pPr>
    </w:p>
    <w:p>
      <w:pPr>
        <w:jc w:val="both"/>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Leasing revenue increased $1.7 million, or 11.5%, to $16.5 million during the three months ended June 30, 2025, as compared to $14.8 million in the same period in 2024. The increase was primarily due to additional commercial property leases, as well as other leases. Leasing gross margin increased to 53.9% during the three months ended June 30, 2025, as compared to 50.7% during the same period in 2024. The increase in leasing gross margin was primarily due to additional leases in the current period.</w:t>
      </w:r>
    </w:p>
    <w:p>
      <w:pPr>
        <w:spacing w:after="0" w:line="183" w:lineRule="exact"/>
        <w:rPr>
          <w:sz w:val="20"/>
          <w:szCs w:val="20"/>
          <w:color w:val="auto"/>
        </w:rPr>
      </w:pPr>
    </w:p>
    <w:p>
      <w:pPr>
        <w:ind w:left="60" w:right="259" w:firstLine="324"/>
        <w:spacing w:after="0" w:line="272" w:lineRule="auto"/>
        <w:rPr>
          <w:sz w:val="20"/>
          <w:szCs w:val="20"/>
          <w:color w:val="auto"/>
        </w:rPr>
      </w:pPr>
      <w:r>
        <w:rPr>
          <w:rFonts w:ascii="Times New Roman" w:cs="Times New Roman" w:eastAsia="Times New Roman" w:hAnsi="Times New Roman"/>
          <w:sz w:val="17"/>
          <w:szCs w:val="17"/>
          <w:color w:val="auto"/>
        </w:rPr>
        <w:t>Leasing revenue increased $3.7 million, or 12.7%, to $32.8 million during the six months ended June 30, 2025, as compared to $29.1 million in the same period in 2024. The increase was primarily due to additional commercial property and marina leases, as well as other leases. Leasing gross margin increased to 54.3% during the six months ended</w:t>
      </w:r>
    </w:p>
    <w:p>
      <w:pPr>
        <w:spacing w:after="0" w:line="2"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June 30, 2025, as compared to 50.2% during the same period in 2024. The increase in leasing gross margin was primarily due to additional leases in the current period.</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Operating Expenses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82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9"/>
        </w:trPr>
        <w:tc>
          <w:tcPr>
            <w:tcW w:w="4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280" w:type="dxa"/>
            <w:vAlign w:val="bottom"/>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 and insurance</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owner association costs</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repairs and maintenance</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miscellaneous</w:t>
            </w:r>
          </w:p>
        </w:tc>
        <w:tc>
          <w:tcPr>
            <w:tcW w:w="7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corporate and other operating expenses</w:t>
            </w:r>
          </w:p>
        </w:tc>
        <w:tc>
          <w:tcPr>
            <w:tcW w:w="7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Corporate and other operating expenses increased $0.5 million to $6.4 million during the three months ended June 30, 2025, as compared to $5.9 million in the same period in 2024. Corporate and other operating expenses were comparable for the six months ended June 30, 2025 and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Depreciation, depletion and amortization expense increased $0.7 million and $1.6 million during the three and six months ended June 30, 2025, respectively, as compared to the same periods in 2024, primarily due to new hospitality and commercial assets placed in service. Depreciation is a non-cash, GAAP expense which is amortized over an asset’s useful life, while maintenance and repair expenses are period costs and expensed as incurred.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Investment income, net primarily includes (i) interest, dividends and accretion income accrued or received on our cash, cash equivalents and other investments, (ii) interest income earned on the time deposit held by SPE and (iii) interest earned on notes receivable and other receivables as detailed in the table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820" w:type="dxa"/>
            <w:vAlign w:val="bottom"/>
            <w:tcBorders>
              <w:bottom w:val="single" w:sz="8" w:color="auto"/>
            </w:tcBorders>
            <w:gridSpan w:val="6"/>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dividend and accretion income</w:t>
            </w:r>
          </w:p>
        </w:tc>
        <w:tc>
          <w:tcPr>
            <w:tcW w:w="900" w:type="dxa"/>
            <w:vAlign w:val="bottom"/>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0.7</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investments in special purpose entities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earned on notes receivable and other interest</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investment income, net</w:t>
            </w:r>
          </w:p>
        </w:tc>
        <w:tc>
          <w:tcPr>
            <w:tcW w:w="320" w:type="dxa"/>
            <w:vAlign w:val="bottom"/>
          </w:tcPr>
          <w:p>
            <w:pPr>
              <w:spacing w:after="0"/>
              <w:rPr>
                <w:sz w:val="18"/>
                <w:szCs w:val="18"/>
                <w:color w:val="auto"/>
              </w:rPr>
            </w:pPr>
          </w:p>
        </w:tc>
        <w:tc>
          <w:tcPr>
            <w:tcW w:w="5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0"/>
        </w:trPr>
        <w:tc>
          <w:tcPr>
            <w:tcW w:w="4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Investment income, net for the three and six months ended June 30, 2025 and 2024 were comparable.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Interest expense primarily includes interest incurred on project financing, the Senior Notes issued by Northwest Florida Timber Finance, LLC, CDD debt and finance leases, as well as amortization of debt discount and premium and debt issuance costs as detailed in the table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820" w:type="dxa"/>
            <w:vAlign w:val="bottom"/>
            <w:tcBorders>
              <w:bottom w:val="single" w:sz="8" w:color="auto"/>
            </w:tcBorders>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incurred for project financing and other interest expense</w:t>
            </w:r>
          </w:p>
        </w:tc>
        <w:tc>
          <w:tcPr>
            <w:tcW w:w="740" w:type="dxa"/>
            <w:vAlign w:val="bottom"/>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and amortization of discount and issuance costs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4"/>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 Senior Notes issued by special purpose entity</w:t>
            </w:r>
          </w:p>
        </w:tc>
        <w:tc>
          <w:tcPr>
            <w:tcW w:w="1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4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Interest expense decreased $0.7 million, or 8.2%, to $7.8 million during the three months ended June 30, 2025, as compared to $8.5 million in the same period in 2024. Interest expense decreased $1.6 million, or 9.4%, to $15.5 million during the six months ended June 30, 2025, as compared to $17.1 million in the same period in 2024. The decrease in interest expense is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for additional information regarding project financing.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 Income from Unconsolidated Joint Ventures</w:t>
      </w:r>
    </w:p>
    <w:p>
      <w:pPr>
        <w:spacing w:after="0" w:line="229"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Equity in income (loss) from unconsolidated joint ventures includes our proportionate share of earnings or losses of unconsolidated JVs accounted for using the equity method as detailed in the table below.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9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80" w:type="dxa"/>
            <w:vAlign w:val="bottom"/>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22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2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5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(a)</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5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Watersound Fountains Independent Living JV </w:t>
            </w:r>
            <w:r>
              <w:rPr>
                <w:rFonts w:ascii="Times New Roman" w:cs="Times New Roman" w:eastAsia="Times New Roman" w:hAnsi="Times New Roman"/>
                <w:sz w:val="25"/>
                <w:szCs w:val="25"/>
                <w:color w:val="auto"/>
                <w:vertAlign w:val="superscript"/>
              </w:rPr>
              <w:t>(b)</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Pier Park TPS JV</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Pier Park RI JV </w:t>
            </w:r>
            <w:r>
              <w:rPr>
                <w:rFonts w:ascii="Times New Roman" w:cs="Times New Roman" w:eastAsia="Times New Roman" w:hAnsi="Times New Roman"/>
                <w:sz w:val="25"/>
                <w:szCs w:val="25"/>
                <w:color w:val="auto"/>
                <w:vertAlign w:val="superscript"/>
              </w:rPr>
              <w:t>(c)</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Busy Bee JV </w:t>
            </w:r>
            <w:r>
              <w:rPr>
                <w:rFonts w:ascii="Times New Roman" w:cs="Times New Roman" w:eastAsia="Times New Roman" w:hAnsi="Times New Roman"/>
                <w:sz w:val="25"/>
                <w:szCs w:val="25"/>
                <w:color w:val="auto"/>
                <w:vertAlign w:val="superscript"/>
              </w:rPr>
              <w:t>(d)</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Electric Cart Watersound JV </w:t>
            </w:r>
            <w:r>
              <w:rPr>
                <w:rFonts w:ascii="Times New Roman" w:cs="Times New Roman" w:eastAsia="Times New Roman" w:hAnsi="Times New Roman"/>
                <w:sz w:val="25"/>
                <w:szCs w:val="25"/>
                <w:color w:val="auto"/>
                <w:vertAlign w:val="superscript"/>
              </w:rPr>
              <w:t>(e)</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Watersound Management JV</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equity in income from unconsolidated joint ventures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0"/>
        </w:trPr>
        <w:tc>
          <w:tcPr>
            <w:tcW w:w="2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right="239" w:hanging="330"/>
        <w:spacing w:after="0" w:line="267"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June 30, 2025 and 2024, the Latitude Margaritaville Watersound JV completed 137 and 163 home sale transactions, respectively. During the six months ended June 30, 2025 and 2024, the Latitude Margaritaville Watersound JV completed 329 and 340 home sale transactions, respectively.</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and is currently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 Activity primarily includes start-up, depreciation and interest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sales showroom located in the Watersound Town Center opened in June 2024.</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expense, net primarily includes other income and expense items as detailed in the table below:</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182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0"/>
        </w:trPr>
        <w:tc>
          <w:tcPr>
            <w:tcW w:w="3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 net</w:t>
            </w:r>
          </w:p>
        </w:tc>
        <w:tc>
          <w:tcPr>
            <w:tcW w:w="1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9"/>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4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0"/>
        </w:trPr>
        <w:tc>
          <w:tcPr>
            <w:tcW w:w="3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expense, net for the three and six months ended June 30, 2025 and 2024 were comparable.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was $9.9 million during the three months ended June 30, 2025, as compared to $8.3 million during the same period in 2024. Our effective tax rate was 25.0% for the three months ended June 30, 2025, as compared to 25.3% during the same period in 2024.</w:t>
      </w:r>
    </w:p>
    <w:p>
      <w:pPr>
        <w:spacing w:after="0" w:line="176"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was $15.8 million during the six months ended June 30, 2025, as compared to $13.0 million during the same period in 2024. Our effective tax rate was 25.3% for the six months ended June 30, 2025, as compared to 25.2% during the same period in 2024.</w:t>
      </w:r>
    </w:p>
    <w:p>
      <w:pPr>
        <w:spacing w:after="0" w:line="176"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effective rate for the three and six months ended June 30, 2025 and 2024, differed from the federal statutory rate of 21.0% primarily due to state income taxes, tax credits, nontaxable or nondeductible and other differences. See Note 11.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for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Residential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consolidated results of operations of our residential segment:</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82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 revenue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 revenue</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real estate revenue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4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Leasing revenue</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real estate and other revenue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income,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in income from unconsolidated joint ventures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4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54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r>
      <w:tr>
        <w:trPr>
          <w:trHeight w:val="20"/>
        </w:trPr>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the three months ended June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consolidated residential real estate revenue and cost of revenue activity: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50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Unit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12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54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vMerge w:val="restart"/>
          </w:tcPr>
          <w:p>
            <w:pPr>
              <w:spacing w:after="0"/>
              <w:rPr>
                <w:sz w:val="10"/>
                <w:szCs w:val="10"/>
                <w:color w:val="auto"/>
              </w:rPr>
            </w:pPr>
          </w:p>
        </w:tc>
        <w:tc>
          <w:tcPr>
            <w:tcW w:w="7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10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5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Sold</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80" w:type="dxa"/>
            <w:vAlign w:val="bottom"/>
          </w:tcPr>
          <w:p>
            <w:pPr>
              <w:spacing w:after="0"/>
              <w:rPr>
                <w:sz w:val="15"/>
                <w:szCs w:val="15"/>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Sold</w:t>
            </w:r>
          </w:p>
        </w:tc>
        <w:tc>
          <w:tcPr>
            <w:tcW w:w="140" w:type="dxa"/>
            <w:vAlign w:val="bottom"/>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3"/>
          </w:tcPr>
          <w:p>
            <w:pPr>
              <w:jc w:val="right"/>
              <w:ind w:right="116"/>
              <w:spacing w:after="0" w:line="129"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Homesites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45.9 %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52.3 %</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Homes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36.4 %</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4"/>
        </w:trPr>
        <w:tc>
          <w:tcPr>
            <w:tcW w:w="158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3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4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500" w:type="dxa"/>
            <w:vAlign w:val="bottom"/>
            <w:vMerge w:val="continue"/>
          </w:tcPr>
          <w:p>
            <w:pPr>
              <w:spacing w:after="0"/>
              <w:rPr>
                <w:sz w:val="23"/>
                <w:szCs w:val="23"/>
                <w:color w:val="auto"/>
              </w:rPr>
            </w:pPr>
          </w:p>
        </w:tc>
        <w:tc>
          <w:tcPr>
            <w:tcW w:w="320" w:type="dxa"/>
            <w:vAlign w:val="bottom"/>
            <w:gridSpan w:val="3"/>
            <w:vMerge w:val="continue"/>
          </w:tcPr>
          <w:p>
            <w:pPr>
              <w:spacing w:after="0"/>
              <w:rPr>
                <w:sz w:val="23"/>
                <w:szCs w:val="23"/>
                <w:color w:val="auto"/>
              </w:rPr>
            </w:pPr>
          </w:p>
        </w:tc>
        <w:tc>
          <w:tcPr>
            <w:tcW w:w="4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5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44.4 %</w:t>
            </w:r>
          </w:p>
        </w:tc>
        <w:tc>
          <w:tcPr>
            <w:tcW w:w="540" w:type="dxa"/>
            <w:vAlign w:val="bottom"/>
            <w:vMerge w:val="continue"/>
          </w:tcPr>
          <w:p>
            <w:pPr>
              <w:spacing w:after="0"/>
              <w:rPr>
                <w:sz w:val="23"/>
                <w:szCs w:val="23"/>
                <w:color w:val="auto"/>
              </w:rPr>
            </w:pPr>
          </w:p>
        </w:tc>
        <w:tc>
          <w:tcPr>
            <w:tcW w:w="320" w:type="dxa"/>
            <w:vAlign w:val="bottom"/>
            <w:gridSpan w:val="2"/>
            <w:vMerge w:val="continue"/>
          </w:tcPr>
          <w:p>
            <w:pPr>
              <w:spacing w:after="0"/>
              <w:rPr>
                <w:sz w:val="23"/>
                <w:szCs w:val="23"/>
                <w:color w:val="auto"/>
              </w:rPr>
            </w:pPr>
          </w:p>
        </w:tc>
        <w:tc>
          <w:tcPr>
            <w:tcW w:w="4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vMerge w:val="continue"/>
          </w:tcPr>
          <w:p>
            <w:pPr>
              <w:spacing w:after="0"/>
              <w:rPr>
                <w:sz w:val="23"/>
                <w:szCs w:val="23"/>
                <w:color w:val="auto"/>
              </w:rPr>
            </w:pPr>
          </w:p>
        </w:tc>
        <w:tc>
          <w:tcPr>
            <w:tcW w:w="4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4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52.3 %</w:t>
            </w:r>
          </w:p>
        </w:tc>
        <w:tc>
          <w:tcPr>
            <w:tcW w:w="0" w:type="dxa"/>
            <w:vAlign w:val="bottom"/>
          </w:tcPr>
          <w:p>
            <w:pPr>
              <w:spacing w:after="0"/>
              <w:rPr>
                <w:sz w:val="1"/>
                <w:szCs w:val="1"/>
                <w:color w:val="auto"/>
              </w:rPr>
            </w:pPr>
          </w:p>
        </w:tc>
      </w:tr>
      <w:tr>
        <w:trPr>
          <w:trHeight w:val="196"/>
        </w:trPr>
        <w:tc>
          <w:tcPr>
            <w:tcW w:w="1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Homes </w:t>
            </w:r>
            <w:r>
              <w:rPr>
                <w:rFonts w:ascii="Times New Roman" w:cs="Times New Roman" w:eastAsia="Times New Roman" w:hAnsi="Times New Roman"/>
                <w:sz w:val="25"/>
                <w:szCs w:val="25"/>
                <w:color w:val="auto"/>
                <w:vertAlign w:val="superscript"/>
              </w:rPr>
              <w:t>(a)</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Total consolidated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unconsolidated</w:t>
            </w:r>
          </w:p>
        </w:tc>
        <w:tc>
          <w:tcPr>
            <w:tcW w:w="5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5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259" w:hanging="330"/>
        <w:spacing w:after="0" w:line="298"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homes sold by the Latitude Margaritaville Watersound JV, which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5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discussion sets forth details of the consolidated results of operations of our residential segment.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Homesites</w:t>
      </w:r>
      <w:r>
        <w:rPr>
          <w:rFonts w:ascii="Times New Roman" w:cs="Times New Roman" w:eastAsia="Times New Roman" w:hAnsi="Times New Roman"/>
          <w:sz w:val="18"/>
          <w:szCs w:val="18"/>
          <w:color w:val="auto"/>
        </w:rPr>
        <w:t>. Revenue from homesite sales increased $2.0 million, or 7.1%,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as compared to the same period in 2024, primarily due to the mix and number of homesites sold per community and the timing of homebuilder contractual closing obligations in our residential communities. During the three months ended June 30, 2025 and 2024, the average base revenue, excluding homesite residuals, per homesite sold was approximately $122,000 and $140,000, respectively, due to the mix of sales from different communities. Revenue includes estimated homesite residuals of $1.2 million and $0.5 million during the three months ended June 30, 2025 and 2024, respectively. The increase in estimated homesite residuals was due to the mix and number of homesites sold in specific communities during the current period. Gross margin decreased to 45.9% during the three months ended June 30, 2025, as compared to 52.3% during the same period in 2024, primarily due to the cost, mix and number of homesites sold from different communities during each respective period. Gross margin may vary each period depending on the location of homesite sales.</w:t>
      </w:r>
    </w:p>
    <w:p>
      <w:pPr>
        <w:spacing w:after="0" w:line="192" w:lineRule="exact"/>
        <w:rPr>
          <w:sz w:val="20"/>
          <w:szCs w:val="20"/>
          <w:color w:val="auto"/>
        </w:rPr>
      </w:pPr>
    </w:p>
    <w:p>
      <w:pPr>
        <w:ind w:left="60" w:right="49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Hom</w:t>
      </w:r>
      <w:r>
        <w:rPr>
          <w:rFonts w:ascii="Times New Roman" w:cs="Times New Roman" w:eastAsia="Times New Roman" w:hAnsi="Times New Roman"/>
          <w:sz w:val="18"/>
          <w:szCs w:val="18"/>
          <w:color w:val="auto"/>
        </w:rPr>
        <w:t>es. During the three months ended June 30, 2025, we sold ten completed townhomes within our Watersound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Origins community for a total of $5.5 million, resulting in a gross profit margin of 36.4%.</w:t>
      </w:r>
    </w:p>
    <w:p>
      <w:pPr>
        <w:spacing w:after="0" w:line="160"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tap and impact fee credits sold, marketing fees and other fees. Other revenue includes estimated fees related to homebuilder homesite sales of $0.5 million and $0.9 million, during the three months ended June 30, 2025 and 2024, respectively.</w:t>
      </w:r>
    </w:p>
    <w:p>
      <w:pPr>
        <w:spacing w:after="0" w:line="176"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marketing, professional fees, project administration, owner association and CDD assessments and other administrative expenses.</w:t>
      </w:r>
    </w:p>
    <w:p>
      <w:pPr>
        <w:spacing w:after="0" w:line="162"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Investment income, net primarily consists of interest earned on the unimproved land contribution to our unconsolidated Latitude Margaritaville Watersound JV as home sales are transacted in the community.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 Interest expense primarily consists of interest incurred on our portion of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CDD debt.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Equity in income from unconsolidated joint ventures includes our proportionate share of earnings or losses of an unconsolidated JV accounted for using the equity method. Equity in income from unconsolidated joint ventures increased $1.9 million during the three months ended June 30, 2025, as compared to the same period in 2024. The increase was due to a higher average sales price and margin per home sold, partially offset by the decreased volume of home sale transactions during the current period related to our unconsolidated Latitude Margaritaville Watersound JV. The Latitude Margaritaville Watersound JV completed 137 home sale transactions during the three months ended June 30, 2025, compared to 163 home sale transactions during the same period in 2024.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 months ended June 30, 2025 compared to the six months ended June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consolidated residential real estate revenue and cost of revenue activity: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120" w:type="dxa"/>
            <w:vAlign w:val="bottom"/>
          </w:tcPr>
          <w:p>
            <w:pPr>
              <w:spacing w:after="0"/>
              <w:rPr>
                <w:sz w:val="10"/>
                <w:szCs w:val="10"/>
                <w:color w:val="auto"/>
              </w:rPr>
            </w:pPr>
          </w:p>
        </w:tc>
        <w:tc>
          <w:tcPr>
            <w:tcW w:w="520" w:type="dxa"/>
            <w:vAlign w:val="bottom"/>
          </w:tcPr>
          <w:p>
            <w:pPr>
              <w:jc w:val="right"/>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56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vMerge w:val="restart"/>
          </w:tcPr>
          <w:p>
            <w:pPr>
              <w:spacing w:after="0"/>
              <w:rPr>
                <w:sz w:val="10"/>
                <w:szCs w:val="10"/>
                <w:color w:val="auto"/>
              </w:rPr>
            </w:pPr>
          </w:p>
        </w:tc>
        <w:tc>
          <w:tcPr>
            <w:tcW w:w="7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100" w:type="dxa"/>
            <w:vAlign w:val="bottom"/>
          </w:tcPr>
          <w:p>
            <w:pPr>
              <w:spacing w:after="0"/>
              <w:rPr>
                <w:sz w:val="10"/>
                <w:szCs w:val="10"/>
                <w:color w:val="auto"/>
              </w:rPr>
            </w:pPr>
          </w:p>
        </w:tc>
        <w:tc>
          <w:tcPr>
            <w:tcW w:w="440" w:type="dxa"/>
            <w:vAlign w:val="bottom"/>
          </w:tcPr>
          <w:p>
            <w:pPr>
              <w:jc w:val="right"/>
              <w:ind w:right="1"/>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5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Sold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Sold</w:t>
            </w:r>
          </w:p>
        </w:tc>
        <w:tc>
          <w:tcPr>
            <w:tcW w:w="14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w w:val="97"/>
              </w:rPr>
              <w:t>Profit</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Homesites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8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45.6 %</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51.1 %</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Homes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36.4 %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1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Total consolidated</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484</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66.2</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36.5</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29.7</w:t>
            </w:r>
          </w:p>
        </w:tc>
        <w:tc>
          <w:tcPr>
            <w:tcW w:w="8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44.9 %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402</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57.1</w:t>
            </w: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29.2</w:t>
            </w:r>
          </w:p>
        </w:tc>
        <w:tc>
          <w:tcPr>
            <w:tcW w:w="8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51.1 %</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Unconsolidated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Homes </w:t>
            </w:r>
            <w:r>
              <w:rPr>
                <w:rFonts w:ascii="Times New Roman" w:cs="Times New Roman" w:eastAsia="Times New Roman" w:hAnsi="Times New Roman"/>
                <w:sz w:val="23"/>
                <w:szCs w:val="23"/>
                <w:color w:val="auto"/>
                <w:vertAlign w:val="superscript"/>
              </w:rPr>
              <w:t>(a)</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Total consolidated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742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unconsolidated</w:t>
            </w:r>
          </w:p>
        </w:tc>
        <w:tc>
          <w:tcPr>
            <w:tcW w:w="5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259" w:hanging="330"/>
        <w:spacing w:after="0" w:line="298"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homes sold by the Latitude Margaritaville Watersound JV, which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5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discussion sets forth details of the consolidated results of operations of our residential segment.</w:t>
      </w:r>
    </w:p>
    <w:p>
      <w:pPr>
        <w:spacing w:after="0" w:line="223" w:lineRule="exact"/>
        <w:rPr>
          <w:sz w:val="20"/>
          <w:szCs w:val="20"/>
          <w:color w:val="auto"/>
        </w:rPr>
      </w:pPr>
    </w:p>
    <w:p>
      <w:pPr>
        <w:ind w:left="60" w:right="119"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Homesites</w:t>
      </w:r>
      <w:r>
        <w:rPr>
          <w:rFonts w:ascii="Times New Roman" w:cs="Times New Roman" w:eastAsia="Times New Roman" w:hAnsi="Times New Roman"/>
          <w:sz w:val="17"/>
          <w:szCs w:val="17"/>
          <w:color w:val="auto"/>
        </w:rPr>
        <w:t>. Revenue from homesite sales increased $3.6 million, or 6.3%, during the six months ended June 30,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the same period in 2024, primarily due to the mix and number of homesites sold per community and the timing of homebuilder contractual closing obligations in our residential communities. During the six months ended June 30, 2025 and 2024, the average base revenue, excluding homesite residuals, per homesite sold was approximately $118,000 and $128,000, respectively, due to the mix of sales from different communities. Revenue includes estimated homesite residuals of $2.4 million and $2.6 million during the six months ended June 30, 2025 and 2024, respectively. The decrease in estimated homesite residuals was due to the mix and number of homesites sold in specific communities during the current period. Gross margin decreased to 45.6% during the six months ended June 30, 2025, as compared to 51.1% during the same period in 2024, primarily due to the cost, mix and number of homesites sold from different communities during each respective period. Gross margin may vary each period depending on the location of homesite sales.</w:t>
      </w:r>
    </w:p>
    <w:p>
      <w:pPr>
        <w:spacing w:after="0" w:line="177" w:lineRule="exact"/>
        <w:rPr>
          <w:sz w:val="20"/>
          <w:szCs w:val="20"/>
          <w:color w:val="auto"/>
        </w:rPr>
      </w:pPr>
    </w:p>
    <w:p>
      <w:pPr>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Hom</w:t>
      </w:r>
      <w:r>
        <w:rPr>
          <w:rFonts w:ascii="Times New Roman" w:cs="Times New Roman" w:eastAsia="Times New Roman" w:hAnsi="Times New Roman"/>
          <w:sz w:val="18"/>
          <w:szCs w:val="18"/>
          <w:color w:val="auto"/>
        </w:rPr>
        <w:t>es. During the six months ended June 30, 2025, we sold ten completed townhomes within our Watersound Origins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community for a total of $5.5 million, resulting in a gross profit margin of 36.4%.</w:t>
      </w:r>
    </w:p>
    <w:p>
      <w:pPr>
        <w:spacing w:after="0" w:line="160" w:lineRule="exact"/>
        <w:rPr>
          <w:sz w:val="20"/>
          <w:szCs w:val="20"/>
          <w:color w:val="auto"/>
        </w:rPr>
      </w:pPr>
    </w:p>
    <w:p>
      <w:pPr>
        <w:jc w:val="both"/>
        <w:ind w:left="60" w:right="69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tap and impact fee credits sold, marketing fees and other fees. Other revenue includes estimated fees related to homebuilder homesite sales of $1.0 million and $1.6 million, during the six months ended June 30, 2025 and 2024, respectively.</w:t>
      </w:r>
    </w:p>
    <w:p>
      <w:pPr>
        <w:spacing w:after="0" w:line="176"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marketing, professional fees, project administration, owner association and CDD assessments and other administrative expenses.</w:t>
      </w:r>
    </w:p>
    <w:p>
      <w:pPr>
        <w:spacing w:after="0" w:line="162"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Investment income, net primarily consists of interest earned on the unimproved land contribution to our unconsolidated Latitude Margaritaville Watersound JV as home sales are transacted in the community.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 Interest expense primarily consists of interest incurred on our portion of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CDD debt.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Equity in income from unconsolidated joint ventures includes our proportionate share of earnings or losses of an unconsolidated JV accounted for using the equity method. Equity in income from unconsolidated joint ventures increased $6.3 million during the six months ended June 30, 2025, as compared to the same period in 2024. The increase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 xml:space="preserve">was due to a higher average sales price and margin per home sold, partially offset by the decreased volume of home sale transactions during the current period related to our unconsolidated Latitude Margaritaville Watersound JV. The Latitude Margaritaville Watersound JV completed 329 home sale transactions during the six months ended June 30, 2025, compared to 340 home sale transactions during the same period in 2024. See Note 4. </w:t>
      </w:r>
      <w:r>
        <w:rPr>
          <w:rFonts w:ascii="Times New Roman" w:cs="Times New Roman" w:eastAsia="Times New Roman" w:hAnsi="Times New Roman"/>
          <w:sz w:val="17"/>
          <w:szCs w:val="17"/>
          <w:i w:val="1"/>
          <w:iCs w:val="1"/>
          <w:color w:val="auto"/>
        </w:rPr>
        <w:t>Joint Ventures</w:t>
      </w:r>
      <w:r>
        <w:rPr>
          <w:rFonts w:ascii="Times New Roman" w:cs="Times New Roman" w:eastAsia="Times New Roman" w:hAnsi="Times New Roman"/>
          <w:sz w:val="17"/>
          <w:szCs w:val="17"/>
          <w:color w:val="auto"/>
        </w:rPr>
        <w:t xml:space="preserve"> for additional information.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consolidated results of operations of our hospitality segment: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1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6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hospitality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leasing revenue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real estate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4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the three months ended June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hospitality segment consolidated revenue and gross profit: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40" w:type="dxa"/>
            <w:vAlign w:val="bottom"/>
          </w:tcPr>
          <w:p>
            <w:pPr>
              <w:spacing w:after="0"/>
              <w:rPr>
                <w:sz w:val="15"/>
                <w:szCs w:val="15"/>
                <w:color w:val="auto"/>
              </w:rPr>
            </w:pPr>
          </w:p>
        </w:tc>
        <w:tc>
          <w:tcPr>
            <w:tcW w:w="28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480"/>
              <w:spacing w:after="0" w:line="129" w:lineRule="exact"/>
              <w:rPr>
                <w:sz w:val="20"/>
                <w:szCs w:val="20"/>
                <w:color w:val="auto"/>
              </w:rPr>
            </w:pPr>
            <w:r>
              <w:rPr>
                <w:rFonts w:ascii="Times New Roman" w:cs="Times New Roman" w:eastAsia="Times New Roman" w:hAnsi="Times New Roman"/>
                <w:sz w:val="14"/>
                <w:szCs w:val="14"/>
                <w:i w:val="1"/>
                <w:iCs w:val="1"/>
                <w:color w:val="auto"/>
                <w:w w:val="82"/>
              </w:rPr>
              <w:t>In millions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Clubs </w:t>
            </w:r>
            <w:r>
              <w:rPr>
                <w:rFonts w:ascii="Times New Roman" w:cs="Times New Roman" w:eastAsia="Times New Roman" w:hAnsi="Times New Roman"/>
                <w:sz w:val="25"/>
                <w:szCs w:val="25"/>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43.3 %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37.5 %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21.3 %</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10"/>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38.5 %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39.2 %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6"/>
          <w:szCs w:val="16"/>
          <w:color w:val="auto"/>
        </w:rPr>
      </w:pPr>
      <w:r>
        <w:rPr>
          <w:rFonts w:ascii="Times New Roman" w:cs="Times New Roman" w:eastAsia="Times New Roman" w:hAnsi="Times New Roman"/>
          <w:sz w:val="16"/>
          <w:szCs w:val="16"/>
          <w:color w:val="auto"/>
        </w:rPr>
        <w:t>Includes the Camp Creek Inn due to its proximity and guest access to Watersound Club amenities.</w:t>
      </w:r>
    </w:p>
    <w:p>
      <w:pPr>
        <w:spacing w:after="0" w:line="121" w:lineRule="exact"/>
        <w:rPr>
          <w:sz w:val="20"/>
          <w:szCs w:val="20"/>
          <w:color w:val="auto"/>
        </w:rPr>
      </w:pPr>
    </w:p>
    <w:p>
      <w:pPr>
        <w:ind w:left="60" w:right="139" w:firstLine="324"/>
        <w:spacing w:after="0" w:line="274" w:lineRule="auto"/>
        <w:rPr>
          <w:sz w:val="20"/>
          <w:szCs w:val="20"/>
          <w:color w:val="auto"/>
        </w:rPr>
      </w:pPr>
      <w:r>
        <w:rPr>
          <w:rFonts w:ascii="Times New Roman" w:cs="Times New Roman" w:eastAsia="Times New Roman" w:hAnsi="Times New Roman"/>
          <w:sz w:val="17"/>
          <w:szCs w:val="17"/>
          <w:color w:val="auto"/>
        </w:rPr>
        <w:t>Revenue from our clubs increased $3.6 million, or 16.7%, during the three months ended June 30, 2025, as compared to the same period in 2024. The increase in revenue was due to an increase in membership dues, membership ancillary spend, lodging related to the Camp Creek Inn, as well as The Third golf course, which opened in November 2024 and the renovated Shark’s Tooth clubhouse, which reopened in February 2025. Our clubs gross margin was 43.3% during the three months ended June 30, 2025, compared to 44.9% during the same period in 2024. The decrease in gross margin during the current period was primarily due to ongoing operating costs for The Third golf course and the Shark’s Tooth clubhouse.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Revenue from our hotel operations increased $2.4 million, or 6.6%, during the three months ended June 30, 2025, as compared to the same period in 2024. Our hotels gross margin was 37.5% for the three months ended June 30, 2025, compared to 36.7% during the same period in 2024. The increase in revenue and gross margin was primarily due to the timing of holidays and school breaks.</w:t>
      </w:r>
    </w:p>
    <w:p>
      <w:pPr>
        <w:spacing w:after="0" w:line="180"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Revenue from other hospitality operations increased $0.5 million, or 11.9%, during the three months ended June 30, 2025, as compared to the same period in 2024, primarily due to an increase in revenue related to marina operations. Our other hospitality operations gross margin was 21.3% during the three months ended June 30, 2025, compared to 31.0% during the same period in 2024. The decrease in gross margin was due to increased operational costs during the current period.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Leasing revenue includes marina boat slip and dry storage rental, as well as leases of other hospitality assets.</w:t>
      </w:r>
    </w:p>
    <w:p>
      <w:pPr>
        <w:spacing w:after="0" w:line="225"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Real estate revenue during the three months ended June 30, 2025, includes the sale of a hospitality property for $1.4 million, resulting in a gross profit of $0.6 million (or gross margin of 42.9%).</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operating expenses include salaries and benefits, professional fees and other administrative expenses.</w:t>
      </w:r>
    </w:p>
    <w:p>
      <w:pPr>
        <w:spacing w:after="0" w:line="225" w:lineRule="exact"/>
        <w:rPr>
          <w:sz w:val="20"/>
          <w:szCs w:val="20"/>
          <w:color w:val="auto"/>
        </w:rPr>
      </w:pPr>
    </w:p>
    <w:p>
      <w:pPr>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The increase of $0.6 million in depreciation, depletion and amortization expense during the three months ended June 30, 2025, as compared to the same period in 2024, was primarily due to new properties placed in service.</w:t>
      </w:r>
    </w:p>
    <w:p>
      <w:pPr>
        <w:spacing w:after="0" w:line="140"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hospitality project financing. The decrease of $0.3 million in interest expense during the three months ended June 30, 2025, as compared to the same period in 2024,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 months ended June 30, 2025 compared to the six months ended June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hospitality segment consolidated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40" w:type="dxa"/>
            <w:vAlign w:val="bottom"/>
          </w:tcPr>
          <w:p>
            <w:pPr>
              <w:spacing w:after="0"/>
              <w:rPr>
                <w:sz w:val="15"/>
                <w:szCs w:val="15"/>
                <w:color w:val="auto"/>
              </w:rPr>
            </w:pPr>
          </w:p>
        </w:tc>
        <w:tc>
          <w:tcPr>
            <w:tcW w:w="28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Profit</w:t>
            </w:r>
          </w:p>
        </w:tc>
        <w:tc>
          <w:tcPr>
            <w:tcW w:w="120" w:type="dxa"/>
            <w:vAlign w:val="bottom"/>
          </w:tcPr>
          <w:p>
            <w:pPr>
              <w:spacing w:after="0"/>
              <w:rPr>
                <w:sz w:val="12"/>
                <w:szCs w:val="12"/>
                <w:color w:val="auto"/>
              </w:rPr>
            </w:pPr>
          </w:p>
        </w:tc>
        <w:tc>
          <w:tcPr>
            <w:tcW w:w="1000" w:type="dxa"/>
            <w:vAlign w:val="bottom"/>
            <w:gridSpan w:val="2"/>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80"/>
              </w:rPr>
              <w:t>Dollars in</w:t>
            </w:r>
          </w:p>
        </w:tc>
        <w:tc>
          <w:tcPr>
            <w:tcW w:w="840" w:type="dxa"/>
            <w:vAlign w:val="bottom"/>
            <w:tcBorders>
              <w:bottom w:val="single" w:sz="8" w:color="auto"/>
            </w:tcBorders>
            <w:gridSpan w:val="2"/>
          </w:tcPr>
          <w:p>
            <w:pPr>
              <w:spacing w:after="0"/>
              <w:rPr>
                <w:sz w:val="2"/>
                <w:szCs w:val="2"/>
                <w:color w:val="auto"/>
              </w:rPr>
            </w:pPr>
          </w:p>
        </w:tc>
        <w:tc>
          <w:tcPr>
            <w:tcW w:w="14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40" w:type="dxa"/>
            <w:vAlign w:val="bottom"/>
            <w:gridSpan w:val="2"/>
          </w:tcPr>
          <w:p>
            <w:pPr>
              <w:jc w:val="right"/>
              <w:ind w:right="216"/>
              <w:spacing w:after="0" w:line="129" w:lineRule="exact"/>
              <w:rPr>
                <w:sz w:val="20"/>
                <w:szCs w:val="20"/>
                <w:color w:val="auto"/>
              </w:rPr>
            </w:pPr>
            <w:r>
              <w:rPr>
                <w:rFonts w:ascii="Times New Roman" w:cs="Times New Roman" w:eastAsia="Times New Roman" w:hAnsi="Times New Roman"/>
                <w:sz w:val="14"/>
                <w:szCs w:val="14"/>
                <w:i w:val="1"/>
                <w:iCs w:val="1"/>
                <w:color w:val="auto"/>
              </w:rPr>
              <w:t>millions</w:t>
            </w:r>
          </w:p>
        </w:tc>
        <w:tc>
          <w:tcPr>
            <w:tcW w:w="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Clubs </w:t>
            </w:r>
            <w:r>
              <w:rPr>
                <w:rFonts w:ascii="Times New Roman" w:cs="Times New Roman" w:eastAsia="Times New Roman" w:hAnsi="Times New Roman"/>
                <w:sz w:val="25"/>
                <w:szCs w:val="25"/>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41.1 %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25.4 %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10"/>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31.1 %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r>
              <w:rPr>
                <w:rFonts w:ascii="Times New Roman" w:cs="Times New Roman" w:eastAsia="Times New Roman" w:hAnsi="Times New Roman"/>
                <w:sz w:val="18"/>
                <w:szCs w:val="18"/>
                <w:b w:val="1"/>
                <w:bCs w:val="1"/>
                <w:u w:val="single" w:color="auto"/>
                <w:color w:val="auto"/>
              </w:rPr>
              <w:t>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32.9 %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6"/>
          <w:szCs w:val="16"/>
          <w:color w:val="auto"/>
        </w:rPr>
      </w:pPr>
      <w:r>
        <w:rPr>
          <w:rFonts w:ascii="Times New Roman" w:cs="Times New Roman" w:eastAsia="Times New Roman" w:hAnsi="Times New Roman"/>
          <w:sz w:val="16"/>
          <w:szCs w:val="16"/>
          <w:color w:val="auto"/>
        </w:rPr>
        <w:t>Includes the Camp Creek Inn due to its proximity and guest access to Watersound Club amenities.</w:t>
      </w:r>
    </w:p>
    <w:p>
      <w:pPr>
        <w:spacing w:after="0" w:line="121"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Revenue from our clubs increased $4.2 million, or 10.3%, during the six months ended June 30, 2025, as compared to the same period in 2024. The increase in revenue was due to an increase in membership dues, membership ancillary spend, lodging related to the Camp Creek Inn, as well as The Third golf course, which opened in November 2024 and the renovated Shark’s Tooth clubhouse, which reopened in February 2025. As of June 30, 2025, Watersound Club had 3,551 members, compared with 3,571 members as of June 30, 2024, a net decrease of 20 members. Our clubs gross margin was 41.1% during the six months ended June 30, 2025, compared to 43.8% during the same period in 2024. The decrease in gross margin was primarily due to ongoing operating costs for The Third golf course and reopening and ongoing operating costs of the Shark’s Tooth clubhouse during the current period.</w:t>
      </w:r>
    </w:p>
    <w:p>
      <w:pPr>
        <w:spacing w:after="0" w:line="19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Revenue from our hotel operations increased $2.2 million, or 4.0%, during the six months ended June 30, 2025, as compared to the same period in 2024. Our hotels gross margin was 25.4% for the six months ended June 30, 2025, comparable to 25.5% during the same period in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As of both June 30, 2025 and 2024, we had 1,053 operational hotel rooms (excluding 245 hotel rooms related to unconsolidated JVs).</w:t>
      </w:r>
    </w:p>
    <w:p>
      <w:pPr>
        <w:spacing w:after="0" w:line="162"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Revenue from other hospitality operations increased $0.4 million, or 6.2%, during the six months ended June 30, 2025, as compared to the same period in 2024, primarily due to an increase in revenue related to marina operations. Our other hospitality operations gross margin was 13.0% during the six months ended June 30, 2025, compared to 26.2% during the same period in 2024. The decrease in gross margin was due to increased operational costs during the current period.</w:t>
      </w:r>
    </w:p>
    <w:p>
      <w:pPr>
        <w:spacing w:after="0" w:line="164"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Leasing revenue includes marina boat slip and dry storage rental, as well as leases of other hospitality assets. Leasing revenue increased $0.2 million, or 11.8%, during the six months ended June 30, 2025, as compared to the same period in 2024, primarily due to increased occupancy at our marinas.</w:t>
      </w:r>
    </w:p>
    <w:p>
      <w:pPr>
        <w:spacing w:after="0" w:line="1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Real estate revenue during the six months ended June 30, 2025, includes the sale of a hospitality property for $1.4 million, resulting in a gross profit of $0.6 million (or gross margin of 42.9%).</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operating expenses include salaries and benefits, professional fees and other administrative expenses.</w:t>
      </w:r>
    </w:p>
    <w:p>
      <w:pPr>
        <w:spacing w:after="0" w:line="225" w:lineRule="exact"/>
        <w:rPr>
          <w:sz w:val="20"/>
          <w:szCs w:val="20"/>
          <w:color w:val="auto"/>
        </w:rPr>
      </w:pPr>
    </w:p>
    <w:p>
      <w:pPr>
        <w:ind w:left="60" w:right="759" w:firstLine="324"/>
        <w:spacing w:after="0" w:line="312" w:lineRule="auto"/>
        <w:rPr>
          <w:sz w:val="20"/>
          <w:szCs w:val="20"/>
          <w:color w:val="auto"/>
        </w:rPr>
      </w:pPr>
      <w:r>
        <w:rPr>
          <w:rFonts w:ascii="Times New Roman" w:cs="Times New Roman" w:eastAsia="Times New Roman" w:hAnsi="Times New Roman"/>
          <w:sz w:val="17"/>
          <w:szCs w:val="17"/>
          <w:color w:val="auto"/>
        </w:rPr>
        <w:t>The increase of $1.1 million in depreciation, depletion and amortization expense during the six months ended June 30, 2025, as compared to the same period in 2024, was primarily due to new properties placed in service.</w:t>
      </w:r>
    </w:p>
    <w:p>
      <w:pPr>
        <w:spacing w:after="0" w:line="140"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hospitality project financing. The decrease of $0.7 million in interest expense during the six months ended June 30, 2025, as compared to the same period in 2024,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consolidated results of operations of our commercial segment:</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1860" w:type="dxa"/>
            <w:vAlign w:val="bottom"/>
            <w:tcBorders>
              <w:bottom w:val="single" w:sz="8" w:color="auto"/>
            </w:tcBorders>
            <w:gridSpan w:val="6"/>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Leasing revenue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leasing revenue</w:t>
            </w:r>
          </w:p>
        </w:tc>
        <w:tc>
          <w:tcPr>
            <w:tcW w:w="8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Multi-family leasing revenue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living leasing revenue</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leasing revenue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 estate revenue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forestry real estate revenue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Timber revenue</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real estate revenue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leasing revenue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real estate revenue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in loss from unconsolidated joint ventures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6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0"/>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the three months ended June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commercial segment consolidated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40" w:type="dxa"/>
            <w:vAlign w:val="bottom"/>
          </w:tcPr>
          <w:p>
            <w:pPr>
              <w:spacing w:after="0"/>
              <w:rPr>
                <w:sz w:val="15"/>
                <w:szCs w:val="15"/>
                <w:color w:val="auto"/>
              </w:rPr>
            </w:pPr>
          </w:p>
        </w:tc>
        <w:tc>
          <w:tcPr>
            <w:tcW w:w="27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leasing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67.1 %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 leasing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48.3 %</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Senior living leasing</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36.4 %</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leasing</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55.6 %</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forestry real estate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52.6 %</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Timber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84.6 %</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65.6 %</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57.3 %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discussion sets forth details of the consolidated results of operations of our commercial segment.</w:t>
      </w:r>
    </w:p>
    <w:p>
      <w:pPr>
        <w:spacing w:after="0" w:line="225"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Total leasing revenue increased $1.7 million, or 12.5%, during the three months ended June 30, 2025, as compared to the same period in 2024. The increase was primarily due to additional commercial property leases, as well as other leases. Total leasing gross margin during the three months ended June 30, 2025 was 55.6%, as compared to 53.7% during the same period in 2024. The increase in leasing gross margin was primarily due to additional leases in the current period.</w:t>
      </w:r>
    </w:p>
    <w:p>
      <w:pPr>
        <w:spacing w:after="0" w:line="18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we had four commercial and forestry real estate sales of approximately 11 acres for $1.9 million, resulting in a gross margin of approximately 52.6%. During the three months ended June 30, 2024, we had a commercial and forestry real estate sale of approximately 168 acres for $0.7 million, with de minimis cost of revenue resulting in a gross margin of approximately 100.0%.</w:t>
      </w:r>
    </w:p>
    <w:p>
      <w:pPr>
        <w:spacing w:after="0" w:line="18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Timber revenue increased $0.2 million, or 18.2%, to $1.3 million during the three months ended June 30, 2025, as compared to $1.1 million during the same period in 2024. The increase was primarily due to an increase in prices in the current period. There were 62,000 tons of wood products sold at an average price per ton of $19.64 during the three months ended June 30, 2025, as compared to 67,000 tons of wood products sold at an average price per ton of $14.09, during the same period in 2024. Timber gross margin was 84.6% during the three months ended June 30, 2025, as compared to 72.7% during the same period in 2024. The increase was primarily due to higher prices in the current period.</w:t>
      </w:r>
    </w:p>
    <w:p>
      <w:pPr>
        <w:spacing w:after="0" w:line="187"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CDD assessments, professional fees, marketing, project administration and other administrative expenses.</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commercial project financing and CDD debt. The decrease of $0.4 million in interest expense during the three months ended June 30, 2025, as compared to the same period in 2024,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Equity in loss from unconsolidated joint ventures includes our proportionate share of earnings or losses of unconsolidated JVs accounted for using the equity method. Equity in loss from unconsolidated joint ventures was $0.9 million during the three months ended June 30, 2025, as compared to $1.1 million for the same period in 2024. The three months ended June 30, 2025 and 2024, primarily include lease-up, depreciation and interest expenses related to the Watersound Fountains Independent Living JV, which opened a 148-unit independent senior living community in March 2024 and is currently under lease-up.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 months ended June 30, 2025 compared to the six months ended June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commercial segment consolidated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15"/>
                <w:szCs w:val="15"/>
                <w:color w:val="auto"/>
              </w:rPr>
            </w:pPr>
          </w:p>
        </w:tc>
        <w:tc>
          <w:tcPr>
            <w:tcW w:w="278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460"/>
              <w:spacing w:after="0" w:line="129" w:lineRule="exact"/>
              <w:rPr>
                <w:sz w:val="20"/>
                <w:szCs w:val="20"/>
                <w:color w:val="auto"/>
              </w:rPr>
            </w:pPr>
            <w:r>
              <w:rPr>
                <w:rFonts w:ascii="Times New Roman" w:cs="Times New Roman" w:eastAsia="Times New Roman" w:hAnsi="Times New Roman"/>
                <w:sz w:val="14"/>
                <w:szCs w:val="14"/>
                <w:i w:val="1"/>
                <w:iCs w:val="1"/>
                <w:color w:val="auto"/>
                <w:w w:val="94"/>
              </w:rPr>
              <w:t>Dollars in</w:t>
            </w:r>
          </w:p>
        </w:tc>
        <w:tc>
          <w:tcPr>
            <w:tcW w:w="820" w:type="dxa"/>
            <w:vAlign w:val="bottom"/>
            <w:gridSpan w:val="2"/>
          </w:tcPr>
          <w:p>
            <w:pPr>
              <w:jc w:val="right"/>
              <w:ind w:right="194"/>
              <w:spacing w:after="0" w:line="129" w:lineRule="exact"/>
              <w:rPr>
                <w:sz w:val="20"/>
                <w:szCs w:val="20"/>
                <w:color w:val="auto"/>
              </w:rPr>
            </w:pPr>
            <w:r>
              <w:rPr>
                <w:rFonts w:ascii="Times New Roman" w:cs="Times New Roman" w:eastAsia="Times New Roman" w:hAnsi="Times New Roman"/>
                <w:sz w:val="14"/>
                <w:szCs w:val="14"/>
                <w:i w:val="1"/>
                <w:iCs w:val="1"/>
                <w:color w:val="auto"/>
              </w:rPr>
              <w:t>millions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leasing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66.4 %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63.6 %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 leasing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Senior living leasing</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33.3 %</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28.2 %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leasing</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55.6 %</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52.8 %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forestry real estate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80.4 %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81.0 %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Timber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84.0 %</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82.6 %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81.6 %</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81.8 %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60.8 %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56.8 %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71</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discussion sets forth details of the consolidated results of operations of our commercial segment.</w:t>
      </w:r>
    </w:p>
    <w:p>
      <w:pPr>
        <w:spacing w:after="0" w:line="22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Total leasing revenue increased $3.3 million, or 12.2%, during the six months ended June 30, 2025, as compared to the same period in 2024. The increase was primarily due to additional commercial property leases, as well as other leases. Total leasing gross margin during the six months ended June 30, 2025 was 55.6%, as compared to 52.8% during the same period in 2024. The increase in leasing gross margin was primarily due to additional leases in the current period. As of June 30, 2025, we had net rentable square feet of approximately 1,177,000, of which approximately 1,122,000 square feet were under lease. As of June 30, 2024, we had net rentable square feet of approximately 1,100,000, of which approximately 1,058,000 square feet were under lease. As of June 30, 2025 and 2024, our consolidated entities had 1,225 and 1,235 multi-family and senior living units, respectively, of which 1,114 were leased as of June 30, 2025, compared to 1,070 leased as of June 30, 2024 (excludes 148 senior living units for the unconsolidated Watersound Fountains Independent Living JV).</w:t>
      </w:r>
    </w:p>
    <w:p>
      <w:pPr>
        <w:spacing w:after="0" w:line="19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Commercial and forestry real estate revenue can vary depending on the proximity to developed areas and the mix and characteristics of commercial and forestry real estate sold in each period, with varying compositions of retail, office, industrial, timber and other commercial uses. During the six months ended June 30, 2025, we had six commercial and forestry real estate sales of approximately 144 acres for $5.1 million, resulting in a gross margin of approximately 80.4%. During the six months ended June 30, 2024, we had three commercial and forestry real estate sales of approximately 243 acres for $2.1 million, resulting in a gross margin of approximately 81.0%.</w:t>
      </w:r>
    </w:p>
    <w:p>
      <w:pPr>
        <w:spacing w:after="0" w:line="18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Timber revenue increased $0.2 million, or 8.7%, to $2.5 million during the six months ended June 30, 2025, as compared to $2.3 million during the same period in 2024. The increase was primarily due to an increase in prices in the current period. There were 135,000 tons of wood products sold at an average price per ton of $16.90 during the six months ended June 30, 2025, as compared to 142,000 tons of wood products sold at an average price per ton of $14.48, during the same period in 2024. Timber gross margin was 84.0% during the six months ended June 30, 2025, as compared to 82.6% during the same period in 2024. The increase was primarily due to higher prices in the current period.</w:t>
      </w:r>
    </w:p>
    <w:p>
      <w:pPr>
        <w:spacing w:after="0" w:line="187"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CDD assessments, professional fees, marketing, project administration and other administrative expenses.</w:t>
      </w:r>
    </w:p>
    <w:p>
      <w:pPr>
        <w:spacing w:after="0" w:line="162" w:lineRule="exact"/>
        <w:rPr>
          <w:sz w:val="20"/>
          <w:szCs w:val="20"/>
          <w:color w:val="auto"/>
        </w:rPr>
      </w:pPr>
    </w:p>
    <w:p>
      <w:pPr>
        <w:ind w:left="60" w:right="759" w:firstLine="324"/>
        <w:spacing w:after="0" w:line="312" w:lineRule="auto"/>
        <w:rPr>
          <w:sz w:val="20"/>
          <w:szCs w:val="20"/>
          <w:color w:val="auto"/>
        </w:rPr>
      </w:pPr>
      <w:r>
        <w:rPr>
          <w:rFonts w:ascii="Times New Roman" w:cs="Times New Roman" w:eastAsia="Times New Roman" w:hAnsi="Times New Roman"/>
          <w:sz w:val="17"/>
          <w:szCs w:val="17"/>
          <w:color w:val="auto"/>
        </w:rPr>
        <w:t>The increase of $0.5 million in depreciation, depletion and amortization expense during the six months ended June 30, 2025, as compared to the same period in 2024, was primarily due to new properties placed in service.</w:t>
      </w:r>
    </w:p>
    <w:p>
      <w:pPr>
        <w:spacing w:after="0" w:line="140"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commercial project financing and CDD debt. The decrease of $0.8 million in interest expense during the six months ended June 30, 2025, as compared to the same period in 2024,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Equity in loss from unconsolidated joint ventures includes our proportionate share of earnings or losses of unconsolidated JVs accounted for using the equity method. Equity in loss from unconsolidated joint ventures was $3.4 million during the six months ended June 30, 2025, as compared to $2.1 million for the same period in 2024. The six months ended June 30, 2025, primarily include start-up, depreciation and interest expenses related to the Pier Park RI JV, which opened a 121-room hotel in April 2024. The six months ended June 30, 2025 and 2024, primarily include lease-up, depreciation and interest expenses related to the Watersound Fountains Independent Living JV, which opened a 148-unit independent senior living community in March 2024 and is currently under lease-up.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099"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we had cash and cash equivalents of $88.2 million, compared to $88.8 million as of December 31,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position, financing arrangements and cash generated from operations will provide us with sufficient liquidity to satisfy our anticipated working capital needs, expected capital expenditures, principal and interest payments on our long-term debt, authorized stock repurchases and authorized dividends for the next twelve months.</w:t>
      </w:r>
    </w:p>
    <w:p>
      <w:pPr>
        <w:spacing w:after="0" w:line="18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six months ended June 30, 2025, we invested a total of $69.2 million for capital expenditures, which includes $51.4 million for our residential segment, $7.2 million for our hospitality segment, $10.1 million for our commercial segment and $0.5 million for corporate expenditures. We anticipate that future capital commitments will be funded through cash generated from operations, cash and cash equivalents on hand and new financing arrangements. As of June 30, 2025, we had a total of $37.3 million, primarily in construction and development related contractual obligations. Capital expenditures and contractual obligations exclude amounts related to unconsolidated JVs.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2025 and December 31, 2024, we had various loans outstanding totaling $432.4 million and $442.7 million, respectively, with maturities from November 2025 through March 2064. As of June 30, 2025, the weighted average effective interest rate of total outstanding debt was 4.8%, of which 74.6% includes fixed or swapped interest rates, and the average remaining life was 18.7 years. As of June 30, 2025, the weighted average rate on our variable rate loans, excluding the swapped portion, was 6.5%.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2015, the Pier Park North JV entered into a $48.2 million loan. As of June 30, 2025 and December 31, 2024, $39.8 million and $40.4 million, respectively, was outstanding on the PPN JV Loan. The loan accrues interest at a rate of 4.1% per annum and matures in November 2025. In connection with the loan, we entered into a limited guarantee in favor of the lender, based on our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and upon breach of covenants in the security instrument.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 We are in the process of refinancing the PPN JV Loan.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2018, the Pier Park Crossings JV entered into a $36.6 million loan, insured by HUD, as amended.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2025 and December 31, 2024, $33.9 million and $34.2 million, respectively, was outstanding on the PPC JV</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Loan. The loan bears interest at a rate of 3.1% and matures in June 2060. The loan includes a prepayment premium due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lender of 2% - 8% for any additional principal that is prepaid through August 2031. The loan is secured by the real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2019, the Watercrest JV entered into a $22.5 million loan. As of June 30, 2025 and December 31, 2024, $19.3 million and $19.6 million, respectively, was outstanding on the Watercrest JV Loan. The loan bears interest at a rate of SOFR plus 2.2% and matures in June 2047. The loan is secured by the real property and certain other Security Interests. In connection with the loan, we executed a guarantee in favor of the lender to guarantee the payment and performance of the borrower under the Watercrest JV Loan. Our liability as guarantor under the loan has been reduced to 50% of the outstanding principal balance, which requires the borrower to maintain certain debt service coverage requirements. We are the sole guarantor and receive a quarterly fee related to the guarantee from our JV partner based on the JV partner’s ownership percentage.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9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2019, a wholly-owned subsidiary of ours entered into a $5.5 million loan, which is guaranteed by us. As of June 30, 2025 and December 31, 2024, $3.7 million and $5.0 million, respectively, was outstanding on the Beckrich Building III Loan. The loan bears interest at a rate of SOFR plus 1.8% and matures in August 2029.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2020, a wholly-owned subsidiary of ours entered into a $15.3 million loan, which is guaranteed by us. As of</w:t>
      </w:r>
    </w:p>
    <w:p>
      <w:pPr>
        <w:spacing w:after="0" w:line="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June 30, 2025 and December 31, 2024, $11.0 million and $11.7 million, respectively, was outstanding on the Airport Hotel Loan. The loan bears interest at SOFR plus 2.1%, with a floor of 3.0%. In February 2025, the Airport Hotel Loan maturity date was extended from March 2025 to February 2030. During the six months ended June 30, 2025, we incurred less than $0.1 million of additional loan costs due to the modification.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2020, the Pier Park Resort Hotel JV entered into a loan with an initial amount of $52.5 million up to a maximum of $60.0 million through additional earn-out requests. As of June 30, 2025 and December 31, 2024, $50.4 million and $50.9 million, respectively, was outstanding on the Pier Park Resort Hotel JV Loan. The loan matures in April 2027 and bears interest at a rate of SOFR plus 2.1%. The loan is secured by the real property and certain other Security Interests. In connection with the loan, as guarantors, we and our JV partner entered into a guarantee based on each partner’s ownership interest in favor of the lender, to guarantee the payment and performance of the borrower. As guarantor, our liability under the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amortizing to $38.7 million at swap maturity, to a rate of 3.2%.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2020, a wholly-owned subsidiary of ours entered into a $16.8 million loan, which is guaranteed by us. As of June 30, 2025 and December 31, 2024, $15.2 million and $15.5 million, respectively, was outstanding on the Breakfast Point Hotel Loan. The loan matures in November 2042 and bears interest at a rate of 6.0% through November 2027 and the 1-year constant maturity Treasury rate plus 3.3% from December 2027 through November 2042, with a minimum rate of</w:t>
      </w:r>
    </w:p>
    <w:p>
      <w:pPr>
        <w:spacing w:after="0" w:line="3"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 xml:space="preserve">6.0% throughout the term of the loan. The loan includes a prepayment premium due to the lender of 1% of the outstanding principal balance for any additional principal that is prepaid through November 2027.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2021, The Lodge 30A JV entered into a $15.0 million loan. As of June 30, 2025 and December 31, 2024, $13.9 million and $14.1 million, respectively, was outstanding on the Lodge 30A JV Loan. The loan bears interest at a rate of 3.8% and matures in January 2028. The loan is secured by the real property and certain other Security Interests. In connection with the loan, we, wholly-owned subsidiaries of ours and our JV partner entered into a joint and several payment and performance guarantee in favor of the lender. Upon reaching a certain debt service coverage ratio for a minimum of twenty-four months, our liability as guarantor can be reduced to 75% of the outstanding principal amount for a twelve-month period. The debt service coverage ratio will be tested annually thereafter and can be reduced to 50% in year four and 25% in year five. We receive a monthly fee related to the guarantee from our JV partner based on the JV partner’s ownership percentage.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2021, a wholly-owned subsidiary of ours entered into a loan, as amended. In February 2025, the North Bay Landing Loan was refinanced, which increased the principal amount of the loan to $27.8 million, fixed the interest rate to 5.9% and provides for monthly payments of principal and interest through maturity in March 2060. As of June 30, 2025 and December 31, 2024, $27.7 million and $22.7 million, respectively, was outstanding on the North Bay Landing Loan. The refinanced loan terms include a prepayment premium due to the lender of 1% - 10% for any principal that is prepaid through March 2035. The refinanced loan is insured by HUD and is secured by the real property and certain other Security Interests. As of June 30, 2025, we incurred $0.6 million of loan costs due to the refinance. The six months ended June 30, 2025 includes a less than $0.1 million loss on early extinguishment of debt related to unamortized debt issuance costs, included within other income, net on the condensed consolidated statements of income.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2021, a wholly-owned subsidiary of ours entered into a $28.0 million loan, which is guaranteed by us.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2025 and December 31, 2024, $27.1 million and $27.4 million, respectively, was outstanding on the Watersound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Camp Creek Loan. The loan matures in December 2047 and bears interest at a rate of SOFR plus 2.1%, with a floor of</w:t>
      </w:r>
    </w:p>
    <w:p>
      <w:pPr>
        <w:spacing w:after="0" w:line="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 xml:space="preserve">2.6%. The loan is secured by the real property and certain other Security Interests. As guarantor, our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guarantor to abide by or perform any of the covenants, warranties or other certain obligations to be performed on the part of such guarantor.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2021, a wholly-owned subsidiary of ours entered into a $12.0 million loan, which is guaranteed by us. As of June 30, 2025 and December 31, 2024, $6.8 million and $8.1 million, respectively, was outstanding on the Watersound Town Center Grocery Loan. The loan bears interest at SOFR plus 2.1%, with a floor of 2.3%, and matures in August 2031. The loan is secured by the real property and certain other Security Interests. As guarantor, our liability under the loan is 50% of the outstanding principal amount and will be reduced to 25% of the outstanding principal amount upon reaching a certain debt service coverage ratio.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2021, a wholly-owned subsidiary of ours entered into a $21.2 million loan, which is guaranteed by us.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2025 and December 31, 2024, $19.4 million and $19.9 million, respectively, was outstanding on the Hotel Indigo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Loan. The loan bears interest at a rate of SOFR plus 2.5%, with a floor of 2.5%. The loan matures in October 2028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includes an option for an extension of the maturity date by sixty months, subject to certain conditions. The loan is secured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by the leasehold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2022, the Mexico Beach Crossings JV entered into a $43.5 million loan, insured by HUD. As of June 30, 2025 and December 31, 2024, $42.8 million and $43.1 million, respectively, was outstanding on the Mexico Beach Crossings JV Loan. The loan bears interest at a rate of 3.0% and matures in March 2064. The loan includes a prepayment premium due to the lender of 1% - 9% for any principal that is prepaid through March 2034.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2022, the Pier Park Crossings Phase II JV refinanced into a $22.9 million loan, insured by HUD. As of</w:t>
      </w:r>
    </w:p>
    <w:p>
      <w:pPr>
        <w:spacing w:after="0" w:line="27"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 xml:space="preserve">June 30, 2025 and December 31, 2024, $21.6 million and $21.8 million, respectively, was outstanding on the PPC II JV Loan. The PPC II JV Loan bears interest at a rate of 2.7% and matures in May 2057. The loan includes a prepayment premium due to the lender of 1% - 7% for any principal that is prepaid through May 2032.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2022, a wholly-owned subsidiary of ours entered into a $13.7 million loan, which is guaranteed by us. As of both June 30, 2025 and December 31, 2024, $12.3 million was outstanding on the Topsail Hotel Loan. The loan bears interest at a rate of SOFR plus 2.1%, with a floor of 3.0% and matures in July 2027.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2022, a wholly-owned subsidiary of ours entered into a $37.0 million loan, which is guaranteed by us.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2025 and December 31, 2024, $33.3 million and $34.0 million, respectively, was outstanding on The Pearl Hotel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Loan. The loan bears interest at a rate of 6.3% and matures in December 2032. The loan includes a prepayment fee due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lender of 1% - 3% of the outstanding principal balance if the loan is refinanced with another financial institution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through December 2027. The loan is secured by the real property and certain other Security Interests. See Note 8. </w:t>
      </w:r>
      <w:r>
        <w:rPr>
          <w:rFonts w:ascii="Times New Roman" w:cs="Times New Roman" w:eastAsia="Times New Roman" w:hAnsi="Times New Roman"/>
          <w:sz w:val="17"/>
          <w:szCs w:val="17"/>
          <w:i w:val="1"/>
          <w:iCs w:val="1"/>
          <w:color w:val="auto"/>
        </w:rPr>
        <w:t>Debt, Net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additional information.</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2023, the Watersound Origins Crossings JV refinanced into a $52.9 million loan, insured by HUD. As of</w:t>
      </w:r>
    </w:p>
    <w:p>
      <w:pPr>
        <w:spacing w:after="0" w:line="27" w:lineRule="exact"/>
        <w:rPr>
          <w:sz w:val="20"/>
          <w:szCs w:val="20"/>
          <w:color w:val="auto"/>
        </w:rPr>
      </w:pPr>
    </w:p>
    <w:p>
      <w:pPr>
        <w:ind w:left="60" w:right="239"/>
        <w:spacing w:after="0" w:line="273" w:lineRule="auto"/>
        <w:rPr>
          <w:sz w:val="20"/>
          <w:szCs w:val="20"/>
          <w:color w:val="auto"/>
        </w:rPr>
      </w:pPr>
      <w:r>
        <w:rPr>
          <w:rFonts w:ascii="Times New Roman" w:cs="Times New Roman" w:eastAsia="Times New Roman" w:hAnsi="Times New Roman"/>
          <w:sz w:val="17"/>
          <w:szCs w:val="17"/>
          <w:color w:val="auto"/>
        </w:rPr>
        <w:t xml:space="preserve">June 30, 2025 and December 31, 2024, $51.6 million and $52.0 million, respectively, was outstanding on the Watersound Origins Crossings JV Loan. The loan bears interest at a rate of 5.0% and matures in April 2058. The loan includes a prepayment premium due to the lender of 1% - 8% for any principal that is prepaid through April 2033. The refinanced loan is secured by the real property and certain other Security Interests. See Note 8. </w:t>
      </w:r>
      <w:r>
        <w:rPr>
          <w:rFonts w:ascii="Times New Roman" w:cs="Times New Roman" w:eastAsia="Times New Roman" w:hAnsi="Times New Roman"/>
          <w:sz w:val="17"/>
          <w:szCs w:val="17"/>
          <w:i w:val="1"/>
          <w:iCs w:val="1"/>
          <w:color w:val="auto"/>
        </w:rPr>
        <w:t>Debt, Net</w:t>
      </w:r>
      <w:r>
        <w:rPr>
          <w:rFonts w:ascii="Times New Roman" w:cs="Times New Roman" w:eastAsia="Times New Roman" w:hAnsi="Times New Roman"/>
          <w:sz w:val="17"/>
          <w:szCs w:val="17"/>
          <w:color w:val="auto"/>
        </w:rPr>
        <w:t xml:space="preserve"> for additional information.</w:t>
      </w:r>
    </w:p>
    <w:p>
      <w:pPr>
        <w:spacing w:after="0" w:line="17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CDD bonds financed the construction of infrastructure improvements in some of our communities. The principal and interest payments on the bonds are paid by assessments on the properties benefited by the improvements financed by the bonds. We have recorded a liability for CDD debt that is associated with platted property, which is the point at which it becomes fixed and determinable. Additionally, we have recorded a liability for the balance of the CDD debt that is associated with unplatted property if it is probable and reasonably estimable that we will ultimately be responsible for repayment. We have recorded CDD related debt of $2.6 million as of June 30, 2025. Total outstanding CDD debt related to our land holdings was $8.9 million as of June 30, 2025, which is comprised of $7.3 million at the SouthWood community, $1.5 million at the existing Pier Park retail center and less than $0.1 million at the Wild Heron residential community. We pay interest on this total outstanding CDD debt.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2025, our unconsolidated Latitude Margaritaville Watersound JV, Watersound Fountains Independent Living JV, Pier Park TPS JV, Pier Park RI JV, Busy Bee JV and Electric Cart Watersound JV had various loans outstanding, some of which we have entered into guarantees.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three months ended June 30, 2025, we repurchased 235,400 shares of our common stock outstanding at an average repurchase price of $44.66, per share, for an aggregate purchase price of $10.5 million, excluding the excise tax on stock repurchases in excess of issuances as a result of the IRA. During the six months ended June 30, 2025, we repurchased 359,014 shares of our common stock outstanding at an average repurchase price of $45.13, per share, for an aggregate purchase price of $16.2 million, excluding the excise tax on stock repurchases in excess of issuances as a result of the IRA. During the three and six months ended June 30, 2024, we did not repurchase shares of our common stock outstanding. See Note 13.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additional information regarding the Stock Repurchase Program.</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part of a certain sale of forestry land in 2014, we generated significant tax gains. The installment note’s structure allowed us to defer the resulting federal and state tax liability of $45.6 million until 2029, the maturity date for the installment note. We have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us, which can be used to pay a portion of the tax liability. See Note 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Fair Value Measurements </w:t>
      </w:r>
      <w:r>
        <w:rPr>
          <w:rFonts w:ascii="Times New Roman" w:cs="Times New Roman" w:eastAsia="Times New Roman" w:hAnsi="Times New Roman"/>
          <w:sz w:val="18"/>
          <w:szCs w:val="18"/>
          <w:color w:val="auto"/>
        </w:rPr>
        <w:t>for additional information.</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we were required to provide surety bonds that guarantee completion and maintenance of certain infrastructure in certain development projects and mitigation banks, as well as other financial guarantees of $63.2 million and $53.1 million, respectively, as well as standby letters of credit in the amount of $0.1 million and $0.7 million, respectively, which may potentially result in a liability to us if certain obligations are not met.</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conducting our operations, we routinely hold customers’ assets in escrow pending completion of real estate transactions, and are responsible for the proper disposition of these balances for our customers. These amounts are maintained in segregated bank accounts and have not been included in the accompanying condensed consolidated balance sheets, consistent with GAAP and industry practice. The cash deposit accounts and offsetting liability balances for escrow deposits in connection with our title insurance agencies for real estate transactions were $9.7 million and $6.4 million as of June 30, 2025 and December 31, 2024, respectively. These escrow funds are not available for regular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our cash flows from operating, investing and financing activities are as follows: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0"/>
        </w:trPr>
        <w:tc>
          <w:tcPr>
            <w:tcW w:w="5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17"/>
                <w:szCs w:val="17"/>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10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r>
      <w:tr>
        <w:trPr>
          <w:trHeight w:val="20"/>
        </w:trPr>
        <w:tc>
          <w:tcPr>
            <w:tcW w:w="5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Net cash flows provided by operating activities include net income, adjustments for non-cash items, distribution of earnings from unconsolidated joint ventures, changes in operating assets and liabilities and expenditures related to assets planned to be sold, including developed and undeveloped assets. Adjustments for non-cash items primarily include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depreciation, depletion and amortization, equity in income from unconsolidated joint ventures, deferred income tax and cost of real estate sold. Net cash provided by operations was $60.1 million during the six months ended June 30, 2025, as compared to $50.4 million during the same period in 2024. Net income was $46.4 million during the six months ended June 30, 2025, as compared to $37.6 million during the same period in 2024. The increase in net cash provided by operating activities was primarily due to the changes in net income, distribution of earnings from unconsolidated joint ventures, cost of real estate sold and accounts payable and other liabilities, partially offset by the changes in equity in income from unconsolidated joint ventures, deferred income tax and expenditures for and acquisition of real estate to be sold during the period.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flows used in investing activities primarily include capital expenditures for operating property and property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equipment used in our operations and capital contributions to unconsolidated joint ventures, partially offset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maturities of assets held by SPEs. During the six months ended June 30, 2025, net cash used in investing activities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$15.9 million, which included capital expenditures for operating property and property and equipment of $14.3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contributions to unconsolidated joint ventures of $2.1 million, partially offset by maturities of assets held by SPEs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$0.4 million and proceeds from the disposition of assets of $0.1 million. During the six months ended June 30, 2024, net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cash used in investing activities was $28.5 million, which included capital expenditures for operating property and property</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equipment of $28.2 million and capital contributions to unconsolidated joint ventures of $1.2 million, partially offset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maturities of assets held by SPEs of $0.4 million, proceeds from insurance claims of $0.2 million, proceeds from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disposition of assets of $0.1 million and capital distributions from unconsolidated joint ventures of $0.2 million.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2025 was $43.7 million, compared to $21.4 million during the same period in 2024. Net cash used in financing activities during the six months ended June 30, 2025, included principal payments for debt of $38.0 million, dividends paid of $16.3 million, repurchase of common stock, including excise tax of $16.3 million, capital distributions to non-controlling interest of $0.5 million and debt issuance costs of $0.4 million, partially offset by borrowings on debt of $27.8 million. Net cash used in financing activities during the six months ended June 30, 2024, included dividends paid of $14.0 million, principal payments for debt of $7.0 million, capital distributions to non-controlling interest of $0.4 million and principal payments for finance leases of $0.1 million, partially offset by borrowings on debt of $0.1 million.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outside the ordinary course of our business in our contractual obligations during the second quarter of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Exchange Act. These statements include, among other things, information about possible or assumed future results of the business and our financial condition, liquidity, results of operations, plans, strategies, prospects and objectives. Such forward-looking statements can generally be identified by our use of forward-looking terminology such as “may,” “will,” “expect,” “intend,” “anticipate,” “estimate,” “believe,” “continue” or other similar expressions concerning matters that are not historical facts.</w:t>
      </w:r>
    </w:p>
    <w:p>
      <w:pPr>
        <w:spacing w:after="0" w:line="18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We caution you that all forward-looking statements involve risks and uncertainties, and while we believe that our expectations for the future are reasonable in view of currently available information, you are cautioned not to place undue reliance on our forward-looking statements. Actual results or events may differ materially from those indicated as a result of various important factors, including: our ability to successfully implement our strategic objectives; new or increased competition across our business units; any decline in general economic conditions, particularly in our primary markets; interest rate fluctuations; inflation; higher insurance costs and our ability to obtain adequate insurance coverage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for our properties; financial institution disruptions; supply chain disruptions; geopolitical conflicts and political uncertainty and the corresponding impact on the global economy; the imposition of tariffs and uncertainty regarding trade policies; changes in consumer sentiment and confidence that may impact demand across our segments; our ability to successfully execute or integrate new business endeavors and acquisitions; our ability to yield anticipated returns from our developments and projects; our ability to effectively manage our real estate assets, as well as the ability for us or our JV partners to effectively manage the day-to-day activities of our JV projects; our ability to complete construction and development projects within expected timeframes; the interest of prospective guests in our hotels, including the new hotels we have opened since the beginning of 2023; reductions in travel and other risks inherent to the hospitality industry; the illiquidity of all real estate assets; financial risks, including risks relating to currency fluctuations, credit risks, and fluctuations in the market value of our investment portfolio; any potential negative impact of our longer-term property development strategy, including losses and negative cash flows for an extended period of time if we continue with the self-development of granted entitlements; our dependence on homebuilders; mix of sales from different communities and the corresponding impact on sales period over period; the financial condition of our commercial tenants; regulatory and insurance risks associated with our senior living facilities; public health emergencies; any reduction in the supply of mortgage loans or tightening of credit markets; our dependence on strong migration and population expansion in our regions of development, particularly Northwest Florida; our ability to fully recover from natural disasters and severe weather conditions; the actual or perceived threat of climate change; the seasonality of our business; our dependence on certain third party providers; the inability of minority shareholders to influence corporate matters, due to concentrated ownership of largest shareholder; the impact of unfavorable legal proceedings or government investigations; the impact of complex and changing laws and regulations in the areas we operate; changes in tax rates, the adoption of new U.S. tax legislation (including the One Big Beautiful Bill Act), and exposure to additional tax liabilities, including with respect to Qualified Opportunity Zone program; new litigation; our ability to attract and retain qualified employees, particularly in our hospitality business; our ability to protect our information technology infrastructure and defend against cyber-attacks; increased media, political, and regulatory scrutiny negatively impacting our reputation; our ability to maintain adequate internal controls; risks associated with our financing arrangements, including our compliance with certain restrictions and limitations; our ability to pay our quarterly dividend; the potential volatility of our common stock; and the other risks and uncertainties discussed in “Risk Factors” beginning on page 7 of our most recent Annual Report on Form 10-K and from time to time in our subsequent filings with the SEC. We assume no obligation to revise or publicly released any revision to any forward-looking statements contained in this Quarterly Report on Form 10-Q unless required by law.</w:t>
      </w:r>
    </w:p>
    <w:p>
      <w:pPr>
        <w:spacing w:after="0" w:line="198"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are exposed to market risks primarily from interest rate risk fluctuations. We have investments in short-term U.S. Treasury Bills classified as cash equivalents that have fixed interest rates for which changes in interest rates generally affect the fair value of the investment, but not the earnings or cash flows. A hypothetical 100 basis point increase in interest rates would result in a decrease of less than $0.1 million in the market value of these investments as of June 30, 2025. Any realized gain or loss resulting from such interest rate changes would only occur if we sold the investments prior to maturity or if a decline in their value is determined to be related to credit loss.</w:t>
      </w:r>
    </w:p>
    <w:p>
      <w:pPr>
        <w:spacing w:after="0" w:line="187" w:lineRule="exact"/>
        <w:rPr>
          <w:sz w:val="20"/>
          <w:szCs w:val="20"/>
          <w:color w:val="auto"/>
        </w:rPr>
      </w:pPr>
    </w:p>
    <w:p>
      <w:pPr>
        <w:jc w:val="both"/>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have historically been exposed, and in the future may again be exposed, to credit risk associated with investments classified as available-for-sale securities (“Securities”) and these instruments are subject to price fluctuations as a result of changes in the financial market’s assessment of issuer credit quality, increases in delinquency and default rates, changes in prevailing interest rates and other economic factors. A downgrade of the U.S. government’s credit rating may also decrease the value of Securities.</w:t>
      </w:r>
    </w:p>
    <w:p>
      <w:pPr>
        <w:spacing w:after="0" w:line="183"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Some of our cash and cash equivalents are invested in money market instruments. Changes in interest rates related to these investments would not significantly impact our results of operations.</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are subject to interest rate risk on our variable-rate debt and utilize derivative financial instruments to reduce our exposure to market risks from changes in interest rates on certain loans. We have entered into interest rate swap agreements designated as cash flow hedges to manage the interest rate risk associated with some of our variable rate debt, with changes in the fair value recorded to accumulated other comprehensive income. As of June 30, 2025, we had variable-rate debt outstanding totaling $150.0 million, of which $40.3 million was swapped to a fixed interest rate. As of June 30, 2025, the weighted average interest rate on our variable rate loans, excluding the swapped portion, based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59"/>
        <w:spacing w:after="0" w:line="266" w:lineRule="auto"/>
        <w:rPr>
          <w:sz w:val="20"/>
          <w:szCs w:val="20"/>
          <w:color w:val="auto"/>
        </w:rPr>
      </w:pPr>
      <w:r>
        <w:rPr>
          <w:rFonts w:ascii="Times New Roman" w:cs="Times New Roman" w:eastAsia="Times New Roman" w:hAnsi="Times New Roman"/>
          <w:sz w:val="18"/>
          <w:szCs w:val="18"/>
          <w:color w:val="auto"/>
        </w:rPr>
        <w:t xml:space="preserve">SOFR was 6.5%. Based on the outstanding balance of these loans as of June 30, 2025, a hypothetical 100 basis point increase in the applicable rate would result in an increase to our annual interest expense of $1.1 million. See Note 5.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and Note 8.</w:t>
      </w:r>
      <w:r>
        <w:rPr>
          <w:rFonts w:ascii="Times New Roman" w:cs="Times New Roman" w:eastAsia="Times New Roman" w:hAnsi="Times New Roman"/>
          <w:sz w:val="18"/>
          <w:szCs w:val="18"/>
          <w:i w:val="1"/>
          <w:iCs w:val="1"/>
          <w:color w:val="auto"/>
        </w:rPr>
        <w:t xml:space="preserve"> Debt, Net </w:t>
      </w:r>
      <w:r>
        <w:rPr>
          <w:rFonts w:ascii="Times New Roman" w:cs="Times New Roman" w:eastAsia="Times New Roman" w:hAnsi="Times New Roman"/>
          <w:sz w:val="18"/>
          <w:szCs w:val="18"/>
          <w:color w:val="auto"/>
        </w:rPr>
        <w:t>for additional information.</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Chief Executive Officer and Chief Financial Officer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as of the end of the period covered by this report, our disclosure controls and procedures were effective.</w:t>
      </w:r>
    </w:p>
    <w:p>
      <w:pPr>
        <w:spacing w:after="0" w:line="183" w:lineRule="exact"/>
        <w:rPr>
          <w:sz w:val="20"/>
          <w:szCs w:val="20"/>
          <w:color w:val="auto"/>
        </w:rPr>
      </w:pPr>
    </w:p>
    <w:p>
      <w:pPr>
        <w:ind w:left="60" w:right="1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quarter ended June 30, 2025, there were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our internal control over financial reporting that have materially affected, or are reasonably likely to materially affect, our internal control over financial reporting.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a variety of litigation, claims, other disputes and governmental proceedings that arise from time to time in the ordinary course of our business, none of which we believe will have a material adverse effect on our consolidated financial position, results of operations or liquidity. In addition, we are subject to environmental laws and regulations, which include obligations to remove or limit the effects on the environment of the disposal or release of certain wastes or substances at various sites, including sites which have been previously sold. See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A description of the risk factors associated with our business is contained in the “Risk Factors” section of our Annual Report on Form 10-K for the fiscal year ended December 31, 2024. There have been no material changes to our Risk Factors as previously reported.</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Board has approved the Stock Repurchase Program pursuant to which we are authorized to repurchase shares of our common stock. The program has no expiration date. In February 2025, the Board increased the total authorization under the Stock Repurchase Program to $100.0 million. As of June 30, 2025, we had a total authority of $83.8 million available for purchase of shares of our common stock outstanding. We may repurchase our common stock in open market purchases from time to time, in privately negotiated transactions or otherwise, pursuant to Rule 10b-18 under the Exchange Act. The timing and amount of any additional stock to be repurchased will depend upon a variety of factors. Repurchases may be commenced or suspended at any time or from time to time without prior notice. The program will continue until otherwise modified or terminated by our Board at any time in its sole discretion.</w:t>
      </w:r>
    </w:p>
    <w:p>
      <w:pPr>
        <w:spacing w:after="0" w:line="192"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our repurchase of common stock during the three months ended June 30, 2025:</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 May Yet Be</w:t>
            </w:r>
          </w:p>
        </w:tc>
        <w:tc>
          <w:tcPr>
            <w:tcW w:w="0" w:type="dxa"/>
            <w:vAlign w:val="bottom"/>
          </w:tcPr>
          <w:p>
            <w:pPr>
              <w:spacing w:after="0"/>
              <w:rPr>
                <w:sz w:val="1"/>
                <w:szCs w:val="1"/>
                <w:color w:val="auto"/>
              </w:rPr>
            </w:pPr>
          </w:p>
        </w:tc>
      </w:tr>
      <w:tr>
        <w:trPr>
          <w:trHeight w:val="146"/>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7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2"/>
                <w:szCs w:val="12"/>
                <w:color w:val="auto"/>
              </w:rPr>
            </w:pPr>
          </w:p>
        </w:tc>
        <w:tc>
          <w:tcPr>
            <w:tcW w:w="16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2880" w:type="dxa"/>
            <w:vAlign w:val="bottom"/>
            <w:gridSpan w:val="2"/>
            <w:vMerge w:val="continue"/>
          </w:tcPr>
          <w:p>
            <w:pPr>
              <w:spacing w:after="0"/>
              <w:rPr>
                <w:sz w:val="15"/>
                <w:szCs w:val="15"/>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40" w:type="dxa"/>
            <w:vAlign w:val="bottom"/>
            <w:gridSpan w:val="3"/>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20"/>
                <w:szCs w:val="20"/>
                <w:b w:val="1"/>
                <w:bCs w:val="1"/>
                <w:color w:val="auto"/>
                <w:vertAlign w:val="superscript"/>
              </w:rPr>
              <w:t>(a)</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40" w:type="dxa"/>
            <w:vAlign w:val="bottom"/>
          </w:tcPr>
          <w:p>
            <w:pPr>
              <w:spacing w:after="0"/>
              <w:rPr>
                <w:sz w:val="15"/>
                <w:szCs w:val="15"/>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42"/>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1-30,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1-31, 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1-30, 2025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6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235,400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44.66</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235,400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14141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439" w:hanging="330"/>
        <w:spacing w:after="0" w:line="282" w:lineRule="auto"/>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Excludes excise tax. As part of the IRA, a 1% excise tax was imposed on stock repurchases in excess of issuances effective January 1, 2023.</w:t>
      </w:r>
    </w:p>
    <w:p>
      <w:pPr>
        <w:spacing w:after="0" w:line="17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40" w:type="dxa"/>
            <w:vAlign w:val="bottom"/>
            <w:gridSpan w:val="12"/>
          </w:tcPr>
          <w:p>
            <w:pPr>
              <w:ind w:left="28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94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94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7940" w:type="dxa"/>
            <w:vAlign w:val="bottom"/>
            <w:tcBorders>
              <w:top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Restated and Amended Articles of Incorporation of the registrant (incorporated by reference to Exhibit 3.1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the registrant’s Quarterly Report on Form 10-Q for the quarter ended June 30, 2010).</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7"/>
                <w:szCs w:val="17"/>
                <w:color w:val="auto"/>
              </w:rPr>
            </w:pPr>
          </w:p>
        </w:tc>
        <w:tc>
          <w:tcPr>
            <w:tcW w:w="7940" w:type="dxa"/>
            <w:vAlign w:val="bottom"/>
            <w:gridSpan w:val="12"/>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Second Amended and Restated Bylaws of the registrant (incorporated by reference to Exhibit 3.1 to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registrant’s Current Report on Form 8-K filed on November 15, 2022).</w:t>
              </w:r>
            </w:hyperlink>
          </w:p>
        </w:tc>
        <w:tc>
          <w:tcPr>
            <w:tcW w:w="2340" w:type="dxa"/>
            <w:vAlign w:val="bottom"/>
            <w:tcBorders>
              <w:top w:val="single" w:sz="8" w:color="0000EE"/>
            </w:tcBorders>
            <w:gridSpan w:val="6"/>
          </w:tcPr>
          <w:p>
            <w:pPr>
              <w:spacing w:after="0"/>
              <w:rPr>
                <w:sz w:val="17"/>
                <w:szCs w:val="17"/>
                <w:color w:val="auto"/>
              </w:rPr>
            </w:pPr>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7940" w:type="dxa"/>
            <w:vAlign w:val="bottom"/>
            <w:gridSpan w:val="12"/>
          </w:tcPr>
          <w:p>
            <w:pPr>
              <w:spacing w:after="0" w:line="196" w:lineRule="exact"/>
              <w:rPr>
                <w:rFonts w:ascii="Times New Roman" w:cs="Times New Roman" w:eastAsia="Times New Roman" w:hAnsi="Times New Roman"/>
                <w:sz w:val="18"/>
                <w:szCs w:val="18"/>
                <w:color w:val="0000EE"/>
                <w:w w:val="97"/>
              </w:rPr>
            </w:pPr>
            <w:hyperlink r:id="rId101">
              <w:r>
                <w:rPr>
                  <w:rFonts w:ascii="Times New Roman" w:cs="Times New Roman" w:eastAsia="Times New Roman" w:hAnsi="Times New Roman"/>
                  <w:sz w:val="18"/>
                  <w:szCs w:val="18"/>
                  <w:color w:val="0000EE"/>
                  <w:w w:val="97"/>
                </w:rPr>
                <w:t>The St. Joe Company 2025 Performance and Equity Incentive Plan (incorporated by reference to Annex A of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Company’s Form DEF14A filed on April 1, 2025)</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7"/>
                <w:szCs w:val="17"/>
                <w:color w:val="auto"/>
              </w:rPr>
            </w:pPr>
          </w:p>
        </w:tc>
        <w:tc>
          <w:tcPr>
            <w:tcW w:w="70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under Section 302 of the Sarbanes-Oxley Act of 2002.</w:t>
            </w:r>
          </w:p>
        </w:tc>
        <w:tc>
          <w:tcPr>
            <w:tcW w:w="8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7"/>
                <w:szCs w:val="17"/>
                <w:color w:val="auto"/>
              </w:rPr>
            </w:pPr>
          </w:p>
        </w:tc>
        <w:tc>
          <w:tcPr>
            <w:tcW w:w="79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under Section 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7"/>
                <w:szCs w:val="17"/>
                <w:color w:val="auto"/>
              </w:rPr>
            </w:pPr>
          </w:p>
        </w:tc>
        <w:tc>
          <w:tcPr>
            <w:tcW w:w="79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3660" w:type="dxa"/>
            <w:vAlign w:val="bottom"/>
            <w:tcBorders>
              <w:top w:val="single" w:sz="8" w:color="0000EE"/>
            </w:tcBorders>
            <w:gridSpan w:val="6"/>
          </w:tcPr>
          <w:p>
            <w:pPr>
              <w:spacing w:after="0"/>
              <w:rPr>
                <w:sz w:val="17"/>
                <w:szCs w:val="17"/>
                <w:color w:val="auto"/>
              </w:rPr>
            </w:pPr>
          </w:p>
        </w:tc>
        <w:tc>
          <w:tcPr>
            <w:tcW w:w="7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7"/>
                <w:szCs w:val="17"/>
                <w:color w:val="auto"/>
              </w:rPr>
            </w:pPr>
          </w:p>
        </w:tc>
        <w:tc>
          <w:tcPr>
            <w:tcW w:w="7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7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THE ST. JOE COMPANY</w:t>
            </w:r>
          </w:p>
        </w:tc>
      </w:tr>
      <w:tr>
        <w:trPr>
          <w:trHeight w:val="234"/>
        </w:trPr>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July 23,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Jorge L. Gonzalez</w:t>
            </w:r>
          </w:p>
        </w:tc>
      </w:tr>
      <w:tr>
        <w:trPr>
          <w:trHeight w:val="189"/>
        </w:trPr>
        <w:tc>
          <w:tcPr>
            <w:tcW w:w="4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Jorge L. Gonzalez</w:t>
            </w: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w:t>
            </w:r>
          </w:p>
        </w:tc>
      </w:tr>
      <w:tr>
        <w:trPr>
          <w:trHeight w:val="218"/>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w:t>
            </w:r>
          </w:p>
        </w:tc>
      </w:tr>
      <w:tr>
        <w:trPr>
          <w:trHeight w:val="234"/>
        </w:trPr>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July 23,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Marek Bakun</w:t>
            </w:r>
          </w:p>
        </w:tc>
      </w:tr>
      <w:tr>
        <w:trPr>
          <w:trHeight w:val="189"/>
        </w:trPr>
        <w:tc>
          <w:tcPr>
            <w:tcW w:w="4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Marek Bakun</w:t>
            </w:r>
          </w:p>
        </w:tc>
      </w:tr>
      <w:tr>
        <w:trPr>
          <w:trHeight w:val="218"/>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Jorge L. Gonzalez, certify that:</w:t>
      </w:r>
    </w:p>
    <w:p>
      <w:pPr>
        <w:spacing w:after="0" w:line="185" w:lineRule="exact"/>
        <w:rPr>
          <w:sz w:val="20"/>
          <w:szCs w:val="20"/>
          <w:color w:val="auto"/>
        </w:rPr>
      </w:pPr>
    </w:p>
    <w:p>
      <w:pPr>
        <w:ind w:left="700" w:hanging="650"/>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The St. Joe Company;</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40" w:right="179" w:hanging="642"/>
        <w:spacing w:after="0" w:line="261"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82"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Jorge 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Jorge L. Gonzalez</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2" w:name="page83"/>
    <w:bookmarkEnd w:id="8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Marek Bakun, certify that:</w:t>
      </w:r>
    </w:p>
    <w:p>
      <w:pPr>
        <w:spacing w:after="0" w:line="185" w:lineRule="exact"/>
        <w:rPr>
          <w:sz w:val="20"/>
          <w:szCs w:val="20"/>
          <w:color w:val="auto"/>
        </w:rPr>
      </w:pPr>
    </w:p>
    <w:p>
      <w:pPr>
        <w:ind w:left="700" w:hanging="650"/>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The St. Joe Company;</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40" w:right="179" w:hanging="642"/>
        <w:spacing w:after="0" w:line="261"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82"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18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Marek Bakun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3" w:name="page84"/>
    <w:bookmarkEnd w:id="8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Pursuant to 18 USC §1350, the undersigned officer of The St. Joe Company (the “Company”) hereby certifies that the Company’s Quarterly Report on Form 10-Q for the period ended June 30, 2025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Jorge 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Jorge L. Gonzalez</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Board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July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4" w:name="page85"/>
    <w:bookmarkEnd w:id="8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Pursuant to 18 USC §1350, the undersigned officer of The St. Joe Company (the “Company”) hereby certifies that the Company’s Quarterly Report on Form 10-Q for the period ended June 30, 2025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Marek Bakun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July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decimal"/>
      <w:start w:val="2"/>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99" Type="http://schemas.openxmlformats.org/officeDocument/2006/relationships/hyperlink" Target="http://www.sec.gov/Archives/edgar/data/745308/000095012310072999/b81443exv3w1.htm" TargetMode="External"/><Relationship Id="rId100" Type="http://schemas.openxmlformats.org/officeDocument/2006/relationships/hyperlink" Target="https://www.sec.gov/Archives/edgar/data/745308/000115752322001657/a52973098ex3_1.htm" TargetMode="External"/><Relationship Id="rId101" Type="http://schemas.openxmlformats.org/officeDocument/2006/relationships/hyperlink" Target="https://www.sec.gov/Archives/edgar/data/745308/000114036125011617/ny20037903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2025-07-23T15:55:18Z</dcterms:created>
  <dcterms:modified xsi:type="dcterms:W3CDTF">2025-07-23T15:55:18Z</dcterms:modified>
</cp:coreProperties>
</file>